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7D54B1" w14:textId="519BA25B" w:rsidR="00E66558" w:rsidRDefault="009D71E8">
      <w:pPr>
        <w:pStyle w:val="Heading1"/>
      </w:pPr>
      <w:bookmarkStart w:id="0" w:name="_Toc400361362"/>
      <w:bookmarkStart w:id="1" w:name="_Toc443397153"/>
      <w:bookmarkStart w:id="2" w:name="_Toc357771638"/>
      <w:bookmarkStart w:id="3" w:name="_Toc346793416"/>
      <w:bookmarkStart w:id="4" w:name="_Toc328122777"/>
      <w:r>
        <w:t>Pupil premium strategy statement</w:t>
      </w:r>
      <w:bookmarkStart w:id="5" w:name="_Toc338167830"/>
      <w:bookmarkStart w:id="6" w:name="_Toc361136403"/>
      <w:bookmarkStart w:id="7" w:name="_Toc364235708"/>
      <w:bookmarkStart w:id="8" w:name="_Toc364235752"/>
      <w:bookmarkStart w:id="9" w:name="_Toc364235834"/>
      <w:bookmarkStart w:id="10" w:name="_Toc364840099"/>
      <w:bookmarkStart w:id="11" w:name="_Toc364864309"/>
      <w:bookmarkStart w:id="12" w:name="_Toc400361364"/>
      <w:bookmarkStart w:id="13" w:name="_Toc443397154"/>
      <w:bookmarkEnd w:id="0"/>
      <w:bookmarkEnd w:id="1"/>
      <w:r w:rsidR="00B22855">
        <w:t xml:space="preserve"> 202</w:t>
      </w:r>
      <w:r w:rsidR="00364146">
        <w:t>6</w:t>
      </w:r>
      <w:r w:rsidR="00B22855">
        <w:t>-2</w:t>
      </w:r>
      <w:r w:rsidR="00364146">
        <w:t>7</w:t>
      </w:r>
    </w:p>
    <w:p w14:paraId="2A7D54B2" w14:textId="33CB0C21" w:rsidR="00E66558" w:rsidRDefault="009D71E8" w:rsidP="0DC9507B">
      <w:pPr>
        <w:pStyle w:val="Heading2"/>
        <w:rPr>
          <w:b w:val="0"/>
          <w:color w:val="auto"/>
          <w:sz w:val="24"/>
          <w:szCs w:val="24"/>
        </w:rPr>
      </w:pPr>
      <w:r w:rsidRPr="0DC9507B">
        <w:rPr>
          <w:b w:val="0"/>
          <w:color w:val="auto"/>
          <w:sz w:val="24"/>
          <w:szCs w:val="24"/>
        </w:rPr>
        <w:t xml:space="preserve">This statement details our school’s use of pupil premium funding to help improve the attainment of our disadvantaged pupils. </w:t>
      </w:r>
    </w:p>
    <w:p w14:paraId="2A7D54B3" w14:textId="77777777" w:rsidR="00E66558" w:rsidRDefault="009D71E8">
      <w:pPr>
        <w:pStyle w:val="Heading2"/>
        <w:spacing w:before="240"/>
        <w:rPr>
          <w:b w:val="0"/>
          <w:bCs/>
          <w:color w:val="auto"/>
          <w:sz w:val="24"/>
          <w:szCs w:val="24"/>
        </w:rPr>
      </w:pPr>
      <w:r>
        <w:rPr>
          <w:b w:val="0"/>
          <w:bCs/>
          <w:color w:val="auto"/>
          <w:sz w:val="24"/>
          <w:szCs w:val="24"/>
        </w:rPr>
        <w:t xml:space="preserve">It outlines our pupil premium strategy, how we intend to spend the funding in this academic year and the effect that last year’s spending of pupil premium had within our school. </w:t>
      </w:r>
    </w:p>
    <w:p w14:paraId="2A7D54B4" w14:textId="77777777" w:rsidR="00E66558" w:rsidRDefault="009D71E8">
      <w:pPr>
        <w:pStyle w:val="Heading2"/>
      </w:pPr>
      <w:r>
        <w:t>School overview</w:t>
      </w:r>
      <w:bookmarkEnd w:id="5"/>
      <w:bookmarkEnd w:id="6"/>
      <w:bookmarkEnd w:id="7"/>
      <w:bookmarkEnd w:id="8"/>
      <w:bookmarkEnd w:id="9"/>
      <w:bookmarkEnd w:id="10"/>
      <w:bookmarkEnd w:id="11"/>
      <w:bookmarkEnd w:id="12"/>
      <w:bookmarkEnd w:id="13"/>
    </w:p>
    <w:tbl>
      <w:tblPr>
        <w:tblW w:w="5000" w:type="pct"/>
        <w:tblCellMar>
          <w:left w:w="10" w:type="dxa"/>
          <w:right w:w="10" w:type="dxa"/>
        </w:tblCellMar>
        <w:tblLook w:val="04A0" w:firstRow="1" w:lastRow="0" w:firstColumn="1" w:lastColumn="0" w:noHBand="0" w:noVBand="1"/>
      </w:tblPr>
      <w:tblGrid>
        <w:gridCol w:w="6517"/>
        <w:gridCol w:w="2969"/>
      </w:tblGrid>
      <w:tr w:rsidR="00E66558" w14:paraId="2A7D54B7" w14:textId="77777777" w:rsidTr="6CA26D7E">
        <w:trPr>
          <w:trHeight w:val="330"/>
        </w:trPr>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tcPr>
          <w:p w14:paraId="2A7D54B5" w14:textId="77777777" w:rsidR="00E66558" w:rsidRDefault="009D71E8">
            <w:pPr>
              <w:pStyle w:val="TableHeader"/>
              <w:jc w:val="left"/>
            </w:pPr>
            <w:r>
              <w:t>Detail</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tcPr>
          <w:p w14:paraId="2A7D54B6" w14:textId="77777777" w:rsidR="00E66558" w:rsidRDefault="009D71E8">
            <w:pPr>
              <w:pStyle w:val="TableHeader"/>
              <w:jc w:val="left"/>
            </w:pPr>
            <w:r>
              <w:t>Data</w:t>
            </w:r>
          </w:p>
        </w:tc>
      </w:tr>
      <w:tr w:rsidR="00E66558" w14:paraId="2A7D54BA" w14:textId="77777777" w:rsidTr="6CA26D7E">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B8" w14:textId="77777777" w:rsidR="00E66558" w:rsidRDefault="009D71E8">
            <w:pPr>
              <w:pStyle w:val="TableRow"/>
            </w:pPr>
            <w:r>
              <w:t>School name</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B9" w14:textId="2358F8AE" w:rsidR="00E66558" w:rsidRDefault="00BA60F3">
            <w:pPr>
              <w:pStyle w:val="TableRow"/>
            </w:pPr>
            <w:r>
              <w:t>Windy Nook Primary</w:t>
            </w:r>
          </w:p>
        </w:tc>
      </w:tr>
      <w:tr w:rsidR="00E66558" w14:paraId="2A7D54BD" w14:textId="77777777" w:rsidTr="6CA26D7E">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BB" w14:textId="77777777" w:rsidR="00E66558" w:rsidRDefault="009D71E8">
            <w:pPr>
              <w:pStyle w:val="TableRow"/>
            </w:pPr>
            <w:r>
              <w:t xml:space="preserve">Number of pupils in school </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BC" w14:textId="3CD6E6A3" w:rsidR="00E66558" w:rsidRDefault="7290A6C8">
            <w:pPr>
              <w:pStyle w:val="TableRow"/>
            </w:pPr>
            <w:r>
              <w:t>29</w:t>
            </w:r>
            <w:r w:rsidR="00364146">
              <w:t>6</w:t>
            </w:r>
          </w:p>
        </w:tc>
      </w:tr>
      <w:tr w:rsidR="00E66558" w14:paraId="2A7D54C0" w14:textId="77777777" w:rsidTr="6CA26D7E">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BE" w14:textId="138F3652" w:rsidR="00E66558" w:rsidRDefault="009D71E8">
            <w:pPr>
              <w:pStyle w:val="TableRow"/>
            </w:pPr>
            <w:r>
              <w:t>Proportion (%) of pupil premium eligible pupils</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BF" w14:textId="44EFE25C" w:rsidR="00E66558" w:rsidRDefault="00364146">
            <w:pPr>
              <w:pStyle w:val="TableRow"/>
            </w:pPr>
            <w:r>
              <w:t>28% including nursery</w:t>
            </w:r>
          </w:p>
        </w:tc>
      </w:tr>
      <w:tr w:rsidR="00E66558" w14:paraId="2A7D54C3" w14:textId="77777777" w:rsidTr="6CA26D7E">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1" w14:textId="77777777" w:rsidR="00E66558" w:rsidRDefault="009D71E8">
            <w:pPr>
              <w:pStyle w:val="TableRow"/>
            </w:pPr>
            <w:r>
              <w:rPr>
                <w:szCs w:val="22"/>
              </w:rPr>
              <w:t xml:space="preserve">Academic year/years that our current pupil premium strategy plan covers </w:t>
            </w:r>
            <w:r>
              <w:rPr>
                <w:b/>
                <w:bCs/>
                <w:szCs w:val="22"/>
              </w:rPr>
              <w:t>(</w:t>
            </w:r>
            <w:proofErr w:type="gramStart"/>
            <w:r>
              <w:rPr>
                <w:b/>
                <w:bCs/>
                <w:szCs w:val="22"/>
              </w:rPr>
              <w:t>3 year</w:t>
            </w:r>
            <w:proofErr w:type="gramEnd"/>
            <w:r>
              <w:rPr>
                <w:b/>
                <w:bCs/>
                <w:szCs w:val="22"/>
              </w:rPr>
              <w:t xml:space="preserve"> plans are recommended)</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D13CD98" w14:textId="77777777" w:rsidR="00C008AD" w:rsidRDefault="00377C92">
            <w:pPr>
              <w:pStyle w:val="TableRow"/>
            </w:pPr>
            <w:r>
              <w:t>2025-2026</w:t>
            </w:r>
          </w:p>
          <w:p w14:paraId="79A51DC2" w14:textId="77777777" w:rsidR="00377C92" w:rsidRDefault="00377C92">
            <w:pPr>
              <w:pStyle w:val="TableRow"/>
            </w:pPr>
            <w:r>
              <w:t>2026-2027</w:t>
            </w:r>
          </w:p>
          <w:p w14:paraId="2A7D54C2" w14:textId="0F472DF6" w:rsidR="00377C92" w:rsidRDefault="00377C92">
            <w:pPr>
              <w:pStyle w:val="TableRow"/>
            </w:pPr>
            <w:r>
              <w:t>2027-2028</w:t>
            </w:r>
          </w:p>
        </w:tc>
      </w:tr>
      <w:tr w:rsidR="00E66558" w14:paraId="2A7D54C6" w14:textId="77777777" w:rsidTr="6CA26D7E">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4" w14:textId="77777777" w:rsidR="00E66558" w:rsidRDefault="009D71E8">
            <w:pPr>
              <w:pStyle w:val="TableRow"/>
            </w:pPr>
            <w:r>
              <w:rPr>
                <w:szCs w:val="22"/>
              </w:rPr>
              <w:t>Date this statement was published</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5" w14:textId="0F130701" w:rsidR="00E66558" w:rsidRDefault="005A67B3">
            <w:pPr>
              <w:pStyle w:val="TableRow"/>
            </w:pPr>
            <w:r>
              <w:t>October 2026</w:t>
            </w:r>
          </w:p>
        </w:tc>
      </w:tr>
      <w:tr w:rsidR="00E66558" w14:paraId="2A7D54C9" w14:textId="77777777" w:rsidTr="6CA26D7E">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7" w14:textId="77777777" w:rsidR="00E66558" w:rsidRDefault="009D71E8">
            <w:pPr>
              <w:pStyle w:val="TableRow"/>
            </w:pPr>
            <w:r>
              <w:rPr>
                <w:szCs w:val="22"/>
              </w:rPr>
              <w:t>Date on which it will be reviewed</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8" w14:textId="621F0E23" w:rsidR="00E66558" w:rsidRDefault="209A8244">
            <w:pPr>
              <w:pStyle w:val="TableRow"/>
            </w:pPr>
            <w:r>
              <w:t>September</w:t>
            </w:r>
            <w:r w:rsidR="3C87A915">
              <w:t xml:space="preserve"> 202</w:t>
            </w:r>
            <w:r w:rsidR="046A51EC">
              <w:t>7</w:t>
            </w:r>
          </w:p>
        </w:tc>
      </w:tr>
      <w:tr w:rsidR="00E66558" w14:paraId="2A7D54CC" w14:textId="77777777" w:rsidTr="6CA26D7E">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A" w14:textId="77777777" w:rsidR="00E66558" w:rsidRDefault="009D71E8">
            <w:pPr>
              <w:pStyle w:val="TableRow"/>
            </w:pPr>
            <w:r>
              <w:t>Statement authorised by</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B" w14:textId="037D1E44" w:rsidR="00E66558" w:rsidRDefault="00BA60F3">
            <w:pPr>
              <w:pStyle w:val="TableRow"/>
            </w:pPr>
            <w:r>
              <w:t>Mrs. Lucie Forrest</w:t>
            </w:r>
          </w:p>
        </w:tc>
      </w:tr>
      <w:tr w:rsidR="00E66558" w14:paraId="2A7D54CF" w14:textId="77777777" w:rsidTr="6CA26D7E">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D" w14:textId="77777777" w:rsidR="00E66558" w:rsidRDefault="009D71E8">
            <w:pPr>
              <w:pStyle w:val="TableRow"/>
            </w:pPr>
            <w:r>
              <w:t>Pupil premium lead</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E" w14:textId="40ED59C6" w:rsidR="00E66558" w:rsidRDefault="00BA60F3">
            <w:pPr>
              <w:pStyle w:val="TableRow"/>
            </w:pPr>
            <w:r>
              <w:t>Mr</w:t>
            </w:r>
            <w:r w:rsidR="00C008AD">
              <w:t>s. Jemma Traynor</w:t>
            </w:r>
          </w:p>
        </w:tc>
      </w:tr>
      <w:tr w:rsidR="00E66558" w14:paraId="2A7D54D2" w14:textId="77777777" w:rsidTr="6CA26D7E">
        <w:tc>
          <w:tcPr>
            <w:tcW w:w="651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D0" w14:textId="77777777" w:rsidR="00E66558" w:rsidRDefault="009D71E8">
            <w:pPr>
              <w:pStyle w:val="TableRow"/>
            </w:pPr>
            <w:r>
              <w:t xml:space="preserve">Governor </w:t>
            </w:r>
            <w:r>
              <w:rPr>
                <w:szCs w:val="22"/>
              </w:rPr>
              <w:t xml:space="preserve">/ Trustee </w:t>
            </w:r>
            <w:r>
              <w:t>lead</w:t>
            </w:r>
          </w:p>
        </w:tc>
        <w:tc>
          <w:tcPr>
            <w:tcW w:w="2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D1" w14:textId="438FA1B5" w:rsidR="00E66558" w:rsidRDefault="00BA60F3">
            <w:pPr>
              <w:pStyle w:val="TableRow"/>
            </w:pPr>
            <w:r w:rsidRPr="00C97361">
              <w:t xml:space="preserve">Mrs. </w:t>
            </w:r>
            <w:r w:rsidR="00C008AD" w:rsidRPr="00C97361">
              <w:t>Lynne Coulson</w:t>
            </w:r>
          </w:p>
        </w:tc>
      </w:tr>
    </w:tbl>
    <w:bookmarkEnd w:id="2"/>
    <w:bookmarkEnd w:id="3"/>
    <w:bookmarkEnd w:id="4"/>
    <w:p w14:paraId="2A7D54D3" w14:textId="77777777" w:rsidR="00E66558" w:rsidRDefault="009D71E8">
      <w:pPr>
        <w:spacing w:before="480" w:line="240" w:lineRule="auto"/>
        <w:rPr>
          <w:b/>
          <w:color w:val="104F75"/>
          <w:sz w:val="32"/>
          <w:szCs w:val="32"/>
        </w:rPr>
      </w:pPr>
      <w:r>
        <w:rPr>
          <w:b/>
          <w:color w:val="104F75"/>
          <w:sz w:val="32"/>
          <w:szCs w:val="32"/>
        </w:rPr>
        <w:t>Funding overview</w:t>
      </w:r>
    </w:p>
    <w:tbl>
      <w:tblPr>
        <w:tblW w:w="9486" w:type="dxa"/>
        <w:tblCellMar>
          <w:left w:w="10" w:type="dxa"/>
          <w:right w:w="10" w:type="dxa"/>
        </w:tblCellMar>
        <w:tblLook w:val="04A0" w:firstRow="1" w:lastRow="0" w:firstColumn="1" w:lastColumn="0" w:noHBand="0" w:noVBand="1"/>
      </w:tblPr>
      <w:tblGrid>
        <w:gridCol w:w="6516"/>
        <w:gridCol w:w="2970"/>
      </w:tblGrid>
      <w:tr w:rsidR="00E66558" w14:paraId="2A7D54D6" w14:textId="77777777">
        <w:trPr>
          <w:trHeight w:val="374"/>
        </w:trPr>
        <w:tc>
          <w:tcPr>
            <w:tcW w:w="6516"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vAlign w:val="center"/>
          </w:tcPr>
          <w:p w14:paraId="2A7D54D4" w14:textId="77777777" w:rsidR="00E66558" w:rsidRDefault="009D71E8">
            <w:pPr>
              <w:pStyle w:val="TableRow"/>
            </w:pPr>
            <w:r>
              <w:rPr>
                <w:b/>
              </w:rPr>
              <w:t>Detail</w:t>
            </w:r>
          </w:p>
        </w:tc>
        <w:tc>
          <w:tcPr>
            <w:tcW w:w="2970"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vAlign w:val="center"/>
          </w:tcPr>
          <w:p w14:paraId="2A7D54D5" w14:textId="77777777" w:rsidR="00E66558" w:rsidRDefault="009D71E8">
            <w:pPr>
              <w:pStyle w:val="TableRow"/>
            </w:pPr>
            <w:r>
              <w:rPr>
                <w:b/>
              </w:rPr>
              <w:t>Amount</w:t>
            </w:r>
          </w:p>
        </w:tc>
      </w:tr>
      <w:tr w:rsidR="00E66558" w14:paraId="2A7D54D9" w14:textId="77777777">
        <w:trPr>
          <w:trHeight w:val="374"/>
        </w:trPr>
        <w:tc>
          <w:tcPr>
            <w:tcW w:w="65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7D54D7" w14:textId="77777777" w:rsidR="00E66558" w:rsidRDefault="009D71E8">
            <w:pPr>
              <w:pStyle w:val="TableRow"/>
            </w:pPr>
            <w:r>
              <w:t>Pupil premium funding allocation this academic year</w:t>
            </w:r>
          </w:p>
        </w:tc>
        <w:tc>
          <w:tcPr>
            <w:tcW w:w="2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D8" w14:textId="367DD7F9" w:rsidR="00E66558" w:rsidRDefault="0098476B" w:rsidP="00EE6DCC">
            <w:pPr>
              <w:pStyle w:val="TableRow"/>
              <w:ind w:left="0"/>
            </w:pPr>
            <w:r>
              <w:t>£</w:t>
            </w:r>
            <w:r w:rsidR="002E37C3">
              <w:t>149,240</w:t>
            </w:r>
          </w:p>
        </w:tc>
      </w:tr>
      <w:tr w:rsidR="00E66558" w14:paraId="2A7D54DC" w14:textId="77777777">
        <w:trPr>
          <w:trHeight w:val="374"/>
        </w:trPr>
        <w:tc>
          <w:tcPr>
            <w:tcW w:w="65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7D54DA" w14:textId="77777777" w:rsidR="00E66558" w:rsidRDefault="009D71E8">
            <w:pPr>
              <w:pStyle w:val="TableRow"/>
            </w:pPr>
            <w:r>
              <w:t>Recovery premium funding allocation this academic year</w:t>
            </w:r>
          </w:p>
        </w:tc>
        <w:tc>
          <w:tcPr>
            <w:tcW w:w="2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DB" w14:textId="3DB59583" w:rsidR="00E66558" w:rsidRDefault="009D71E8">
            <w:pPr>
              <w:pStyle w:val="TableRow"/>
            </w:pPr>
            <w:r>
              <w:t>£</w:t>
            </w:r>
            <w:r w:rsidR="00C008AD">
              <w:t>0</w:t>
            </w:r>
          </w:p>
        </w:tc>
      </w:tr>
      <w:tr w:rsidR="00E66558" w14:paraId="2A7D54DF" w14:textId="77777777">
        <w:trPr>
          <w:trHeight w:val="374"/>
        </w:trPr>
        <w:tc>
          <w:tcPr>
            <w:tcW w:w="65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7D54DD" w14:textId="77777777" w:rsidR="00E66558" w:rsidRDefault="009D71E8">
            <w:pPr>
              <w:pStyle w:val="TableRow"/>
            </w:pPr>
            <w:r>
              <w:t>Pupil premium funding carried forward from previous years (enter £0 if not applicable)</w:t>
            </w:r>
          </w:p>
        </w:tc>
        <w:tc>
          <w:tcPr>
            <w:tcW w:w="2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DE" w14:textId="5D37CDE9" w:rsidR="00E66558" w:rsidRDefault="00BD2185">
            <w:pPr>
              <w:pStyle w:val="TableRow"/>
            </w:pPr>
            <w:r>
              <w:t>£0</w:t>
            </w:r>
          </w:p>
        </w:tc>
      </w:tr>
      <w:tr w:rsidR="00E66558" w14:paraId="2A7D54E3" w14:textId="77777777">
        <w:tc>
          <w:tcPr>
            <w:tcW w:w="65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E0" w14:textId="77777777" w:rsidR="00E66558" w:rsidRDefault="009D71E8">
            <w:pPr>
              <w:pStyle w:val="TableRow"/>
              <w:rPr>
                <w:b/>
              </w:rPr>
            </w:pPr>
            <w:r>
              <w:rPr>
                <w:b/>
              </w:rPr>
              <w:t>Total budget for this academic year</w:t>
            </w:r>
          </w:p>
          <w:p w14:paraId="2A7D54E1" w14:textId="77777777" w:rsidR="00E66558" w:rsidRDefault="009D71E8">
            <w:pPr>
              <w:pStyle w:val="TableRow"/>
            </w:pPr>
            <w:r>
              <w:t>If your school is an academy in a trust that pools this funding, state the amount available to your school this academic year</w:t>
            </w:r>
          </w:p>
        </w:tc>
        <w:tc>
          <w:tcPr>
            <w:tcW w:w="2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E2" w14:textId="770BAF16" w:rsidR="00E66558" w:rsidRDefault="0098476B">
            <w:pPr>
              <w:pStyle w:val="TableRow"/>
            </w:pPr>
            <w:r>
              <w:t>£1</w:t>
            </w:r>
            <w:r w:rsidR="002E37C3">
              <w:t>49,240</w:t>
            </w:r>
            <w:r w:rsidR="00FF3FC0">
              <w:t xml:space="preserve"> based on 84 FSM, 4 Post Lac and 3 Service </w:t>
            </w:r>
          </w:p>
        </w:tc>
      </w:tr>
    </w:tbl>
    <w:p w14:paraId="2A7D54E4" w14:textId="77777777" w:rsidR="00E66558" w:rsidRDefault="009D71E8">
      <w:pPr>
        <w:pStyle w:val="Heading1"/>
      </w:pPr>
      <w:r>
        <w:lastRenderedPageBreak/>
        <w:t>Part A: Pupil premium strategy plan</w:t>
      </w:r>
    </w:p>
    <w:p w14:paraId="2A7D54E5" w14:textId="77777777" w:rsidR="00E66558" w:rsidRDefault="009D71E8">
      <w:pPr>
        <w:pStyle w:val="Heading2"/>
      </w:pPr>
      <w:bookmarkStart w:id="14" w:name="_Toc357771640"/>
      <w:bookmarkStart w:id="15" w:name="_Toc346793418"/>
      <w:r>
        <w:t>Statement of intent</w:t>
      </w:r>
    </w:p>
    <w:tbl>
      <w:tblPr>
        <w:tblW w:w="9486" w:type="dxa"/>
        <w:tblCellMar>
          <w:left w:w="10" w:type="dxa"/>
          <w:right w:w="10" w:type="dxa"/>
        </w:tblCellMar>
        <w:tblLook w:val="04A0" w:firstRow="1" w:lastRow="0" w:firstColumn="1" w:lastColumn="0" w:noHBand="0" w:noVBand="1"/>
      </w:tblPr>
      <w:tblGrid>
        <w:gridCol w:w="9486"/>
      </w:tblGrid>
      <w:tr w:rsidR="00E66558" w14:paraId="2A7D54EA" w14:textId="77777777" w:rsidTr="6CA26D7E">
        <w:tc>
          <w:tcPr>
            <w:tcW w:w="94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5F4B03" w14:textId="77777777" w:rsidR="002E37C3" w:rsidRPr="002E37C3" w:rsidRDefault="002E37C3" w:rsidP="002E37C3">
            <w:pPr>
              <w:suppressAutoHyphens w:val="0"/>
              <w:autoSpaceDN/>
              <w:spacing w:after="0" w:line="300" w:lineRule="atLeast"/>
              <w:rPr>
                <w:rFonts w:cs="Arial"/>
                <w:color w:val="auto"/>
              </w:rPr>
            </w:pPr>
            <w:r w:rsidRPr="002E37C3">
              <w:rPr>
                <w:rFonts w:cs="Arial"/>
                <w:color w:val="auto"/>
              </w:rPr>
              <w:t>At Windy Nook Primary School, we believe that all pupils, regardless of background or circumstance, should achieve highly and have access to the same opportunities, experiences and aspirations as their peers. Our pupil premium strategy is centred on identifying and removing barriers to learning so that disadvantaged pupils can achieve their full potential academically, socially and emotionally.</w:t>
            </w:r>
          </w:p>
          <w:p w14:paraId="4DCD9705" w14:textId="77777777" w:rsidR="002E37C3" w:rsidRPr="002E37C3" w:rsidRDefault="002E37C3" w:rsidP="002E37C3">
            <w:pPr>
              <w:suppressAutoHyphens w:val="0"/>
              <w:autoSpaceDN/>
              <w:spacing w:after="0" w:line="300" w:lineRule="atLeast"/>
              <w:rPr>
                <w:rFonts w:cs="Arial"/>
                <w:color w:val="auto"/>
              </w:rPr>
            </w:pPr>
            <w:r w:rsidRPr="002E37C3">
              <w:rPr>
                <w:rFonts w:cs="Arial"/>
                <w:color w:val="auto"/>
              </w:rPr>
              <w:t>Analysis of outcomes from 2025/26 shows that disadvantaged pupils continue to achieve well in some areas, particularly Communication and Language in EYFS, writing at KS2 and participation in enrichment opportunities. However, significant gaps remain in phonics, KS1 attainment and attendance, particularly for disadvantaged pupils who also have SEND or additional vulnerabilities.</w:t>
            </w:r>
          </w:p>
          <w:p w14:paraId="632767FE" w14:textId="77777777" w:rsidR="002E37C3" w:rsidRPr="002E37C3" w:rsidRDefault="002E37C3" w:rsidP="002E37C3">
            <w:pPr>
              <w:suppressAutoHyphens w:val="0"/>
              <w:autoSpaceDN/>
              <w:spacing w:after="0" w:line="300" w:lineRule="atLeast"/>
              <w:rPr>
                <w:rFonts w:cs="Arial"/>
                <w:color w:val="auto"/>
              </w:rPr>
            </w:pPr>
            <w:r w:rsidRPr="002E37C3">
              <w:rPr>
                <w:rFonts w:cs="Arial"/>
                <w:color w:val="auto"/>
              </w:rPr>
              <w:t>Our approach is informed by the Education Endowment Foundation (EEF) guidance, which highlights high-quality teaching as the most effective way to improve outcomes for disadvantaged pupils. Our strategy focuses on:</w:t>
            </w:r>
          </w:p>
          <w:p w14:paraId="79CD588E" w14:textId="77777777" w:rsidR="002E37C3" w:rsidRPr="002E37C3" w:rsidRDefault="002E37C3" w:rsidP="002E37C3">
            <w:pPr>
              <w:numPr>
                <w:ilvl w:val="0"/>
                <w:numId w:val="20"/>
              </w:numPr>
              <w:suppressAutoHyphens w:val="0"/>
              <w:autoSpaceDN/>
              <w:spacing w:before="100" w:beforeAutospacing="1" w:after="100" w:afterAutospacing="1" w:line="300" w:lineRule="atLeast"/>
              <w:rPr>
                <w:rFonts w:cs="Arial"/>
                <w:color w:val="auto"/>
              </w:rPr>
            </w:pPr>
            <w:r w:rsidRPr="002E37C3">
              <w:rPr>
                <w:rFonts w:cs="Arial"/>
                <w:color w:val="auto"/>
              </w:rPr>
              <w:t>High-quality teaching for all pupils.</w:t>
            </w:r>
          </w:p>
          <w:p w14:paraId="55CB4542" w14:textId="77777777" w:rsidR="002E37C3" w:rsidRPr="002E37C3" w:rsidRDefault="002E37C3" w:rsidP="002E37C3">
            <w:pPr>
              <w:numPr>
                <w:ilvl w:val="0"/>
                <w:numId w:val="20"/>
              </w:numPr>
              <w:suppressAutoHyphens w:val="0"/>
              <w:autoSpaceDN/>
              <w:spacing w:before="100" w:beforeAutospacing="1" w:after="100" w:afterAutospacing="1" w:line="300" w:lineRule="atLeast"/>
              <w:rPr>
                <w:rFonts w:cs="Arial"/>
                <w:color w:val="auto"/>
              </w:rPr>
            </w:pPr>
            <w:r w:rsidRPr="002E37C3">
              <w:rPr>
                <w:rFonts w:cs="Arial"/>
                <w:color w:val="auto"/>
              </w:rPr>
              <w:t>Targeted academic support to address identified gaps.</w:t>
            </w:r>
          </w:p>
          <w:p w14:paraId="722CD09C" w14:textId="77777777" w:rsidR="002E37C3" w:rsidRPr="002E37C3" w:rsidRDefault="002E37C3" w:rsidP="002E37C3">
            <w:pPr>
              <w:numPr>
                <w:ilvl w:val="0"/>
                <w:numId w:val="20"/>
              </w:numPr>
              <w:suppressAutoHyphens w:val="0"/>
              <w:autoSpaceDN/>
              <w:spacing w:before="100" w:beforeAutospacing="1" w:after="100" w:afterAutospacing="1" w:line="300" w:lineRule="atLeast"/>
              <w:rPr>
                <w:rFonts w:cs="Arial"/>
                <w:color w:val="auto"/>
              </w:rPr>
            </w:pPr>
            <w:r w:rsidRPr="002E37C3">
              <w:rPr>
                <w:rFonts w:cs="Arial"/>
                <w:color w:val="auto"/>
              </w:rPr>
              <w:t>Wider strategies to improve attendance, wellbeing, engagement and access to opportunities.</w:t>
            </w:r>
          </w:p>
          <w:p w14:paraId="7451D80C" w14:textId="0EC320EA" w:rsidR="00C008AD" w:rsidRPr="002E37C3" w:rsidRDefault="4AE31CE2" w:rsidP="6CA26D7E">
            <w:pPr>
              <w:suppressAutoHyphens w:val="0"/>
              <w:autoSpaceDN/>
              <w:spacing w:after="0" w:line="300" w:lineRule="auto"/>
            </w:pPr>
            <w:r w:rsidRPr="6CA26D7E">
              <w:rPr>
                <w:rFonts w:cs="Arial"/>
                <w:color w:val="auto"/>
              </w:rPr>
              <w:t>Many of our disadvantaged pupils experience multiple barriers to learning, including SEND, attendance difficulties, social care involvement, trauma and language acquisition needs. Our strategy therefore combines universal provision with targeted support to meet individual needs and ensure pupils are supported to achieve their potential.</w:t>
            </w:r>
            <w:r w:rsidR="064AEF35" w:rsidRPr="6CA26D7E">
              <w:rPr>
                <w:rFonts w:ascii="Segoe UI" w:eastAsia="Segoe UI" w:hAnsi="Segoe UI" w:cs="Segoe UI"/>
                <w:sz w:val="21"/>
                <w:szCs w:val="21"/>
              </w:rPr>
              <w:t xml:space="preserve"> </w:t>
            </w:r>
            <w:r w:rsidR="064AEF35" w:rsidRPr="6CA26D7E">
              <w:rPr>
                <w:rFonts w:eastAsia="Arial" w:cs="Arial"/>
              </w:rPr>
              <w:t>Funding decisions are reviewed throughout the year and adapted where evidence shows greater impact can be achieved.</w:t>
            </w:r>
          </w:p>
          <w:p w14:paraId="2A7D54E9" w14:textId="00B336AE" w:rsidR="00C008AD" w:rsidRPr="002E37C3" w:rsidRDefault="00C008AD" w:rsidP="6CA26D7E">
            <w:pPr>
              <w:suppressAutoHyphens w:val="0"/>
              <w:autoSpaceDN/>
              <w:spacing w:after="0" w:line="300" w:lineRule="atLeast"/>
              <w:rPr>
                <w:rFonts w:cs="Arial"/>
                <w:color w:val="auto"/>
              </w:rPr>
            </w:pPr>
          </w:p>
        </w:tc>
      </w:tr>
    </w:tbl>
    <w:p w14:paraId="2A7D54EB" w14:textId="4EDDA04C" w:rsidR="00E66558" w:rsidRDefault="009D71E8">
      <w:pPr>
        <w:pStyle w:val="Heading2"/>
        <w:spacing w:before="600"/>
      </w:pPr>
      <w:r>
        <w:t>Challenges</w:t>
      </w:r>
    </w:p>
    <w:p w14:paraId="2A7D54EC" w14:textId="77777777" w:rsidR="00E66558" w:rsidRDefault="009D71E8">
      <w:pPr>
        <w:spacing w:before="120" w:line="240" w:lineRule="auto"/>
        <w:textAlignment w:val="baseline"/>
        <w:outlineLvl w:val="0"/>
      </w:pPr>
      <w:r>
        <w:rPr>
          <w:bCs/>
          <w:color w:val="auto"/>
        </w:rPr>
        <w:t>This details</w:t>
      </w:r>
      <w:r>
        <w:rPr>
          <w:color w:val="auto"/>
        </w:rPr>
        <w:t xml:space="preserve"> the key</w:t>
      </w:r>
      <w:r>
        <w:rPr>
          <w:bCs/>
          <w:color w:val="auto"/>
        </w:rPr>
        <w:t xml:space="preserve"> </w:t>
      </w:r>
      <w:r>
        <w:rPr>
          <w:color w:val="auto"/>
        </w:rPr>
        <w:t xml:space="preserve">challenges to </w:t>
      </w:r>
      <w:r>
        <w:rPr>
          <w:bCs/>
          <w:color w:val="auto"/>
        </w:rPr>
        <w:t>achievement that we have</w:t>
      </w:r>
      <w:r>
        <w:rPr>
          <w:color w:val="auto"/>
        </w:rPr>
        <w:t xml:space="preserve"> identified among </w:t>
      </w:r>
      <w:r>
        <w:rPr>
          <w:bCs/>
          <w:color w:val="auto"/>
        </w:rPr>
        <w:t>our</w:t>
      </w:r>
      <w:r>
        <w:rPr>
          <w:color w:val="auto"/>
        </w:rPr>
        <w:t xml:space="preserve"> disadvantaged pupils.</w:t>
      </w:r>
    </w:p>
    <w:tbl>
      <w:tblPr>
        <w:tblW w:w="5000" w:type="pct"/>
        <w:tblCellMar>
          <w:left w:w="10" w:type="dxa"/>
          <w:right w:w="10" w:type="dxa"/>
        </w:tblCellMar>
        <w:tblLook w:val="04A0" w:firstRow="1" w:lastRow="0" w:firstColumn="1" w:lastColumn="0" w:noHBand="0" w:noVBand="1"/>
      </w:tblPr>
      <w:tblGrid>
        <w:gridCol w:w="1477"/>
        <w:gridCol w:w="8009"/>
      </w:tblGrid>
      <w:tr w:rsidR="00E66558" w14:paraId="2A7D54EF" w14:textId="77777777" w:rsidTr="3AA5B316">
        <w:tc>
          <w:tcPr>
            <w:tcW w:w="147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tcPr>
          <w:p w14:paraId="2A7D54ED" w14:textId="77777777" w:rsidR="00E66558" w:rsidRDefault="009D71E8">
            <w:pPr>
              <w:pStyle w:val="TableHeader"/>
              <w:jc w:val="left"/>
            </w:pPr>
            <w:r>
              <w:t>Challenge number</w:t>
            </w:r>
          </w:p>
        </w:tc>
        <w:tc>
          <w:tcPr>
            <w:tcW w:w="80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tcPr>
          <w:p w14:paraId="2A7D54EE" w14:textId="77777777" w:rsidR="00E66558" w:rsidRDefault="009D71E8">
            <w:pPr>
              <w:pStyle w:val="TableHeader"/>
              <w:jc w:val="left"/>
            </w:pPr>
            <w:r>
              <w:t xml:space="preserve">Detail of challenge </w:t>
            </w:r>
          </w:p>
        </w:tc>
      </w:tr>
      <w:tr w:rsidR="00E66558" w14:paraId="2A7D54F2" w14:textId="77777777" w:rsidTr="3AA5B316">
        <w:tc>
          <w:tcPr>
            <w:tcW w:w="14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F0" w14:textId="77777777" w:rsidR="00E66558" w:rsidRDefault="009D71E8">
            <w:pPr>
              <w:pStyle w:val="TableRow"/>
              <w:rPr>
                <w:sz w:val="22"/>
                <w:szCs w:val="22"/>
              </w:rPr>
            </w:pPr>
            <w:r>
              <w:rPr>
                <w:sz w:val="22"/>
                <w:szCs w:val="22"/>
              </w:rPr>
              <w:t>1</w:t>
            </w:r>
          </w:p>
        </w:tc>
        <w:tc>
          <w:tcPr>
            <w:tcW w:w="80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F1" w14:textId="46E02487" w:rsidR="00006B49" w:rsidRPr="002E37C3" w:rsidRDefault="002E37C3" w:rsidP="002E37C3">
            <w:pPr>
              <w:suppressAutoHyphens w:val="0"/>
              <w:autoSpaceDN/>
              <w:spacing w:after="0" w:line="300" w:lineRule="atLeast"/>
              <w:rPr>
                <w:rFonts w:cs="Arial"/>
                <w:color w:val="auto"/>
              </w:rPr>
            </w:pPr>
            <w:r w:rsidRPr="002E37C3">
              <w:rPr>
                <w:rFonts w:cs="Arial"/>
                <w:color w:val="auto"/>
              </w:rPr>
              <w:t>Assessments, observations and discussions indicate that many disadvantaged pupils enter school with lower levels of communication, language and vocabulary than their peers. These gaps continue to impact reading, writing and wider curriculum attainment</w:t>
            </w:r>
          </w:p>
        </w:tc>
      </w:tr>
      <w:tr w:rsidR="00E66558" w14:paraId="2A7D54F5" w14:textId="77777777" w:rsidTr="3AA5B316">
        <w:tc>
          <w:tcPr>
            <w:tcW w:w="14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F3" w14:textId="77777777" w:rsidR="00E66558" w:rsidRDefault="009D71E8">
            <w:pPr>
              <w:pStyle w:val="TableRow"/>
              <w:rPr>
                <w:sz w:val="22"/>
                <w:szCs w:val="22"/>
              </w:rPr>
            </w:pPr>
            <w:r>
              <w:rPr>
                <w:sz w:val="22"/>
                <w:szCs w:val="22"/>
              </w:rPr>
              <w:t>2</w:t>
            </w:r>
          </w:p>
        </w:tc>
        <w:tc>
          <w:tcPr>
            <w:tcW w:w="80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F4" w14:textId="0FF6A6BE" w:rsidR="00E66558" w:rsidRPr="002E37C3" w:rsidRDefault="002E37C3" w:rsidP="002E37C3">
            <w:pPr>
              <w:suppressAutoHyphens w:val="0"/>
              <w:autoSpaceDN/>
              <w:spacing w:after="0" w:line="300" w:lineRule="atLeast"/>
              <w:rPr>
                <w:rFonts w:cs="Arial"/>
                <w:color w:val="auto"/>
              </w:rPr>
            </w:pPr>
            <w:r w:rsidRPr="002E37C3">
              <w:rPr>
                <w:rFonts w:cs="Arial"/>
                <w:color w:val="auto"/>
              </w:rPr>
              <w:t>Attendance for disadvantaged pupils remains below that of non-disadvantaged pupils. Persistent absence continues to have a negative impact on achievement and engagement.</w:t>
            </w:r>
          </w:p>
        </w:tc>
      </w:tr>
      <w:tr w:rsidR="00E66558" w14:paraId="2A7D54F8" w14:textId="77777777" w:rsidTr="3AA5B316">
        <w:tc>
          <w:tcPr>
            <w:tcW w:w="14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F6" w14:textId="77777777" w:rsidR="00E66558" w:rsidRDefault="009D71E8">
            <w:pPr>
              <w:pStyle w:val="TableRow"/>
              <w:rPr>
                <w:sz w:val="22"/>
                <w:szCs w:val="22"/>
              </w:rPr>
            </w:pPr>
            <w:r>
              <w:rPr>
                <w:sz w:val="22"/>
                <w:szCs w:val="22"/>
              </w:rPr>
              <w:lastRenderedPageBreak/>
              <w:t>3</w:t>
            </w:r>
          </w:p>
        </w:tc>
        <w:tc>
          <w:tcPr>
            <w:tcW w:w="80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F7" w14:textId="7CE45972" w:rsidR="00F61C3E" w:rsidRPr="00A72ED6" w:rsidRDefault="002E37C3" w:rsidP="00A72ED6">
            <w:pPr>
              <w:suppressAutoHyphens w:val="0"/>
              <w:autoSpaceDN/>
              <w:spacing w:after="0" w:line="300" w:lineRule="atLeast"/>
              <w:rPr>
                <w:rFonts w:cs="Arial"/>
                <w:color w:val="auto"/>
              </w:rPr>
            </w:pPr>
            <w:r w:rsidRPr="002E37C3">
              <w:rPr>
                <w:rFonts w:cs="Arial"/>
                <w:color w:val="auto"/>
              </w:rPr>
              <w:t>Phonics and early reading outcomes remain lower for disadvantaged pupils. In 2025/26, 50% of disadvantaged pupils met the expected standard in the Year 1 Phonics Screening Check compared with 77.5% of non-disadvantaged pupils.</w:t>
            </w:r>
          </w:p>
        </w:tc>
      </w:tr>
      <w:tr w:rsidR="00E66558" w14:paraId="2A7D54FB" w14:textId="77777777" w:rsidTr="3AA5B316">
        <w:tc>
          <w:tcPr>
            <w:tcW w:w="14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F9" w14:textId="77777777" w:rsidR="00E66558" w:rsidRDefault="009D71E8">
            <w:pPr>
              <w:pStyle w:val="TableRow"/>
              <w:rPr>
                <w:sz w:val="22"/>
                <w:szCs w:val="22"/>
              </w:rPr>
            </w:pPr>
            <w:r>
              <w:rPr>
                <w:sz w:val="22"/>
                <w:szCs w:val="22"/>
              </w:rPr>
              <w:t>4</w:t>
            </w:r>
          </w:p>
        </w:tc>
        <w:tc>
          <w:tcPr>
            <w:tcW w:w="80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FA" w14:textId="6C7B8A54" w:rsidR="00E66558" w:rsidRPr="002E37C3" w:rsidRDefault="002E37C3" w:rsidP="002E37C3">
            <w:pPr>
              <w:suppressAutoHyphens w:val="0"/>
              <w:autoSpaceDN/>
              <w:spacing w:after="0" w:line="300" w:lineRule="atLeast"/>
              <w:rPr>
                <w:rFonts w:cs="Arial"/>
                <w:color w:val="auto"/>
              </w:rPr>
            </w:pPr>
            <w:r w:rsidRPr="002E37C3">
              <w:rPr>
                <w:rFonts w:cs="Arial"/>
                <w:color w:val="auto"/>
              </w:rPr>
              <w:t>KS1 outcomes indicate that disadvantaged pupils require earlier intervention and more rapid support in reading, writing and mathematics to prevent gaps becoming embedded.</w:t>
            </w:r>
          </w:p>
        </w:tc>
      </w:tr>
      <w:tr w:rsidR="00E66558" w14:paraId="2A7D54FE" w14:textId="77777777" w:rsidTr="3AA5B316">
        <w:tc>
          <w:tcPr>
            <w:tcW w:w="14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FC" w14:textId="77777777" w:rsidR="00E66558" w:rsidRDefault="009D71E8">
            <w:pPr>
              <w:pStyle w:val="TableRow"/>
              <w:rPr>
                <w:sz w:val="22"/>
                <w:szCs w:val="22"/>
              </w:rPr>
            </w:pPr>
            <w:bookmarkStart w:id="16" w:name="_Toc443397160"/>
            <w:r>
              <w:rPr>
                <w:sz w:val="22"/>
                <w:szCs w:val="22"/>
              </w:rPr>
              <w:t>5</w:t>
            </w:r>
          </w:p>
        </w:tc>
        <w:tc>
          <w:tcPr>
            <w:tcW w:w="80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7099E2E" w14:textId="77777777" w:rsidR="00655A8B" w:rsidRPr="00655A8B" w:rsidRDefault="00655A8B" w:rsidP="00655A8B">
            <w:pPr>
              <w:suppressAutoHyphens w:val="0"/>
              <w:autoSpaceDN/>
              <w:spacing w:after="0" w:line="300" w:lineRule="atLeast"/>
              <w:rPr>
                <w:rFonts w:cs="Arial"/>
                <w:color w:val="auto"/>
              </w:rPr>
            </w:pPr>
            <w:r w:rsidRPr="00655A8B">
              <w:rPr>
                <w:rFonts w:cs="Arial"/>
                <w:color w:val="auto"/>
              </w:rPr>
              <w:t>A higher proportion of disadvantaged pupils also have SEND and require additional adaptations and support to access the curriculum successfully.</w:t>
            </w:r>
          </w:p>
          <w:p w14:paraId="2A7D54FD" w14:textId="4E224D2D" w:rsidR="00E66558" w:rsidRPr="002E37C3" w:rsidRDefault="00E66558" w:rsidP="002E37C3">
            <w:pPr>
              <w:suppressAutoHyphens w:val="0"/>
              <w:autoSpaceDN/>
              <w:spacing w:after="0" w:line="300" w:lineRule="atLeast"/>
              <w:rPr>
                <w:rFonts w:cs="Arial"/>
                <w:color w:val="auto"/>
              </w:rPr>
            </w:pPr>
          </w:p>
        </w:tc>
      </w:tr>
      <w:tr w:rsidR="002E37C3" w14:paraId="4BD8CAA8" w14:textId="77777777" w:rsidTr="3AA5B316">
        <w:tc>
          <w:tcPr>
            <w:tcW w:w="14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67D3021" w14:textId="56E37D8D" w:rsidR="002E37C3" w:rsidRDefault="002E37C3">
            <w:pPr>
              <w:pStyle w:val="TableRow"/>
              <w:rPr>
                <w:sz w:val="22"/>
                <w:szCs w:val="22"/>
              </w:rPr>
            </w:pPr>
            <w:r>
              <w:rPr>
                <w:sz w:val="22"/>
                <w:szCs w:val="22"/>
              </w:rPr>
              <w:t>6</w:t>
            </w:r>
          </w:p>
        </w:tc>
        <w:tc>
          <w:tcPr>
            <w:tcW w:w="800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41BB25" w14:textId="77777777" w:rsidR="002E37C3" w:rsidRPr="002E37C3" w:rsidRDefault="002E37C3" w:rsidP="002E37C3">
            <w:pPr>
              <w:suppressAutoHyphens w:val="0"/>
              <w:autoSpaceDN/>
              <w:spacing w:after="0" w:line="300" w:lineRule="atLeast"/>
              <w:rPr>
                <w:rFonts w:cs="Arial"/>
                <w:color w:val="auto"/>
              </w:rPr>
            </w:pPr>
            <w:r w:rsidRPr="002E37C3">
              <w:rPr>
                <w:rFonts w:cs="Arial"/>
                <w:color w:val="auto"/>
              </w:rPr>
              <w:t>Some disadvantaged pupils have limited access to enrichment opportunities and experiences beyond school, which can affect confidence, aspirations and cultural capital.</w:t>
            </w:r>
          </w:p>
          <w:p w14:paraId="6BAC4B7C" w14:textId="77777777" w:rsidR="002E37C3" w:rsidRPr="002E37C3" w:rsidRDefault="002E37C3" w:rsidP="002E37C3">
            <w:pPr>
              <w:suppressAutoHyphens w:val="0"/>
              <w:autoSpaceDN/>
              <w:spacing w:after="0" w:line="300" w:lineRule="atLeast"/>
              <w:rPr>
                <w:rFonts w:cs="Arial"/>
                <w:color w:val="auto"/>
              </w:rPr>
            </w:pPr>
          </w:p>
        </w:tc>
      </w:tr>
    </w:tbl>
    <w:p w14:paraId="2A7D54FF" w14:textId="77777777" w:rsidR="00E66558" w:rsidRDefault="009D71E8">
      <w:pPr>
        <w:pStyle w:val="Heading2"/>
        <w:spacing w:before="600"/>
      </w:pPr>
      <w:r>
        <w:t xml:space="preserve">Intended outcomes </w:t>
      </w:r>
    </w:p>
    <w:p w14:paraId="2A7D5500" w14:textId="77777777" w:rsidR="00E66558" w:rsidRDefault="009D71E8">
      <w:r>
        <w:rPr>
          <w:color w:val="auto"/>
        </w:rPr>
        <w:t xml:space="preserve">This explains the outcomes we are aiming for </w:t>
      </w:r>
      <w:r>
        <w:rPr>
          <w:b/>
          <w:bCs/>
          <w:color w:val="auto"/>
        </w:rPr>
        <w:t>by the end of our current strategy plan</w:t>
      </w:r>
      <w:r>
        <w:rPr>
          <w:color w:val="auto"/>
        </w:rPr>
        <w:t>, and how we will measure whether they have been achieved.</w:t>
      </w:r>
    </w:p>
    <w:tbl>
      <w:tblPr>
        <w:tblW w:w="5000" w:type="pct"/>
        <w:tblCellMar>
          <w:left w:w="10" w:type="dxa"/>
          <w:right w:w="10" w:type="dxa"/>
        </w:tblCellMar>
        <w:tblLook w:val="04A0" w:firstRow="1" w:lastRow="0" w:firstColumn="1" w:lastColumn="0" w:noHBand="0" w:noVBand="1"/>
      </w:tblPr>
      <w:tblGrid>
        <w:gridCol w:w="4815"/>
        <w:gridCol w:w="4671"/>
      </w:tblGrid>
      <w:tr w:rsidR="00E66558" w14:paraId="2A7D5503" w14:textId="77777777" w:rsidTr="3AA5B316">
        <w:tc>
          <w:tcPr>
            <w:tcW w:w="48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tcPr>
          <w:p w14:paraId="2A7D5501" w14:textId="77777777" w:rsidR="00E66558" w:rsidRDefault="009D71E8">
            <w:pPr>
              <w:pStyle w:val="TableHeader"/>
              <w:jc w:val="left"/>
            </w:pPr>
            <w:r>
              <w:t>Intended outcome</w:t>
            </w:r>
          </w:p>
        </w:tc>
        <w:tc>
          <w:tcPr>
            <w:tcW w:w="46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tcPr>
          <w:p w14:paraId="2A7D5502" w14:textId="77777777" w:rsidR="00E66558" w:rsidRDefault="009D71E8">
            <w:pPr>
              <w:pStyle w:val="TableHeader"/>
              <w:jc w:val="left"/>
            </w:pPr>
            <w:r>
              <w:t>Success criteria</w:t>
            </w:r>
          </w:p>
        </w:tc>
      </w:tr>
      <w:tr w:rsidR="00A73A38" w14:paraId="2A7D5506" w14:textId="77777777" w:rsidTr="3AA5B316">
        <w:tc>
          <w:tcPr>
            <w:tcW w:w="48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1864F58" w14:textId="77777777" w:rsidR="0083620A" w:rsidRPr="0083620A" w:rsidRDefault="0083620A" w:rsidP="0083620A">
            <w:pPr>
              <w:suppressAutoHyphens w:val="0"/>
              <w:autoSpaceDN/>
              <w:spacing w:after="0" w:line="300" w:lineRule="atLeast"/>
              <w:rPr>
                <w:rFonts w:cs="Arial"/>
                <w:color w:val="auto"/>
              </w:rPr>
            </w:pPr>
            <w:r w:rsidRPr="0083620A">
              <w:rPr>
                <w:rFonts w:cs="Arial"/>
                <w:color w:val="auto"/>
              </w:rPr>
              <w:t>Improved communication, language and vocabulary development for disadvantaged pupils</w:t>
            </w:r>
          </w:p>
          <w:p w14:paraId="2A7D5504" w14:textId="5C8B4A89" w:rsidR="00A73A38" w:rsidRPr="002E37C3" w:rsidRDefault="00A73A38" w:rsidP="002E37C3">
            <w:pPr>
              <w:suppressAutoHyphens w:val="0"/>
              <w:autoSpaceDN/>
              <w:spacing w:after="0" w:line="300" w:lineRule="atLeast"/>
              <w:rPr>
                <w:rFonts w:cs="Arial"/>
                <w:color w:val="auto"/>
              </w:rPr>
            </w:pPr>
          </w:p>
        </w:tc>
        <w:tc>
          <w:tcPr>
            <w:tcW w:w="467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E6FEA30" w14:textId="0C510601" w:rsidR="0083620A" w:rsidRPr="0083620A" w:rsidRDefault="0083620A" w:rsidP="0083620A">
            <w:pPr>
              <w:suppressAutoHyphens w:val="0"/>
              <w:autoSpaceDN/>
              <w:spacing w:after="0" w:line="300" w:lineRule="atLeast"/>
              <w:rPr>
                <w:rFonts w:cs="Arial"/>
                <w:color w:val="auto"/>
              </w:rPr>
            </w:pPr>
            <w:r w:rsidRPr="0083620A">
              <w:rPr>
                <w:rFonts w:cs="Arial"/>
                <w:color w:val="auto"/>
              </w:rPr>
              <w:t>The proportion of disadvantaged pupils achieving age-related expectations in Communication and Language by the end of EYFS increases</w:t>
            </w:r>
            <w:r w:rsidR="004D31A8">
              <w:rPr>
                <w:rFonts w:cs="Arial"/>
                <w:color w:val="auto"/>
              </w:rPr>
              <w:t xml:space="preserve">. </w:t>
            </w:r>
            <w:r w:rsidRPr="0083620A">
              <w:rPr>
                <w:rFonts w:cs="Arial"/>
                <w:color w:val="auto"/>
              </w:rPr>
              <w:t>Disadvantaged pupils demonstrate improved vocabulary, communication and participation across the curriculum.</w:t>
            </w:r>
          </w:p>
          <w:p w14:paraId="2A7D5505" w14:textId="259FA098" w:rsidR="00A73A38" w:rsidRPr="002E37C3" w:rsidRDefault="00A73A38" w:rsidP="002E37C3">
            <w:pPr>
              <w:suppressAutoHyphens w:val="0"/>
              <w:autoSpaceDN/>
              <w:spacing w:after="0" w:line="300" w:lineRule="atLeast"/>
              <w:rPr>
                <w:rFonts w:cs="Arial"/>
                <w:color w:val="auto"/>
              </w:rPr>
            </w:pPr>
          </w:p>
        </w:tc>
      </w:tr>
      <w:tr w:rsidR="00A73A38" w14:paraId="2A7D5509" w14:textId="77777777" w:rsidTr="3AA5B316">
        <w:tc>
          <w:tcPr>
            <w:tcW w:w="48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EE5A621" w14:textId="77777777" w:rsidR="003073A8" w:rsidRPr="003073A8" w:rsidRDefault="003073A8" w:rsidP="003073A8">
            <w:pPr>
              <w:suppressAutoHyphens w:val="0"/>
              <w:autoSpaceDN/>
              <w:spacing w:after="0" w:line="300" w:lineRule="atLeast"/>
              <w:rPr>
                <w:rFonts w:cs="Arial"/>
                <w:color w:val="auto"/>
              </w:rPr>
            </w:pPr>
            <w:r w:rsidRPr="003073A8">
              <w:rPr>
                <w:rFonts w:cs="Arial"/>
                <w:color w:val="auto"/>
              </w:rPr>
              <w:t>Improved attendance for disadvantaged pupils</w:t>
            </w:r>
          </w:p>
          <w:p w14:paraId="2A7D5507" w14:textId="33DCCF50" w:rsidR="00A73A38" w:rsidRDefault="00A73A38" w:rsidP="00A73A38">
            <w:pPr>
              <w:pStyle w:val="TableRow"/>
              <w:rPr>
                <w:sz w:val="22"/>
                <w:szCs w:val="22"/>
              </w:rPr>
            </w:pPr>
          </w:p>
        </w:tc>
        <w:tc>
          <w:tcPr>
            <w:tcW w:w="467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57EBC1E" w14:textId="4D4F5224" w:rsidR="00655A8B" w:rsidRPr="00655A8B" w:rsidRDefault="00655A8B" w:rsidP="00655A8B">
            <w:pPr>
              <w:suppressAutoHyphens w:val="0"/>
              <w:autoSpaceDN/>
              <w:spacing w:after="0" w:line="300" w:lineRule="atLeast"/>
              <w:rPr>
                <w:rFonts w:cs="Arial"/>
                <w:color w:val="auto"/>
              </w:rPr>
            </w:pPr>
            <w:r w:rsidRPr="00655A8B">
              <w:rPr>
                <w:rFonts w:cs="Arial"/>
                <w:color w:val="auto"/>
              </w:rPr>
              <w:t xml:space="preserve">Attendance of disadvantaged pupils </w:t>
            </w:r>
            <w:r w:rsidR="004D31A8" w:rsidRPr="00655A8B">
              <w:rPr>
                <w:rFonts w:cs="Arial"/>
                <w:color w:val="auto"/>
              </w:rPr>
              <w:t>improves,</w:t>
            </w:r>
            <w:r w:rsidRPr="00655A8B">
              <w:rPr>
                <w:rFonts w:cs="Arial"/>
                <w:color w:val="auto"/>
              </w:rPr>
              <w:t xml:space="preserve"> and the attendance gap narrows year on year.</w:t>
            </w:r>
          </w:p>
          <w:p w14:paraId="2A7D5508" w14:textId="03CEAA15" w:rsidR="00A73A38" w:rsidRPr="003073A8" w:rsidRDefault="003073A8" w:rsidP="003073A8">
            <w:pPr>
              <w:suppressAutoHyphens w:val="0"/>
              <w:autoSpaceDN/>
              <w:spacing w:after="0" w:line="300" w:lineRule="atLeast"/>
              <w:rPr>
                <w:rFonts w:cs="Arial"/>
                <w:color w:val="auto"/>
              </w:rPr>
            </w:pPr>
            <w:r w:rsidRPr="003073A8">
              <w:rPr>
                <w:rFonts w:cs="Arial"/>
                <w:color w:val="auto"/>
              </w:rPr>
              <w:t>Persistent absence rates decrease year on year.</w:t>
            </w:r>
          </w:p>
        </w:tc>
      </w:tr>
      <w:tr w:rsidR="00A73A38" w14:paraId="2A7D550C" w14:textId="77777777" w:rsidTr="3AA5B316">
        <w:tc>
          <w:tcPr>
            <w:tcW w:w="48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6194E1D" w14:textId="77777777" w:rsidR="0083620A" w:rsidRPr="0083620A" w:rsidRDefault="0083620A" w:rsidP="0083620A">
            <w:pPr>
              <w:suppressAutoHyphens w:val="0"/>
              <w:autoSpaceDN/>
              <w:spacing w:after="0" w:line="300" w:lineRule="atLeast"/>
              <w:rPr>
                <w:rFonts w:cs="Arial"/>
                <w:color w:val="auto"/>
              </w:rPr>
            </w:pPr>
            <w:r w:rsidRPr="0083620A">
              <w:rPr>
                <w:rFonts w:cs="Arial"/>
                <w:color w:val="auto"/>
              </w:rPr>
              <w:t>Improved phonics and early reading attainment for disadvantaged pupils.</w:t>
            </w:r>
          </w:p>
          <w:p w14:paraId="2A7D550A" w14:textId="0668B216" w:rsidR="00F61C3E" w:rsidRDefault="00F61C3E" w:rsidP="0083620A">
            <w:pPr>
              <w:suppressAutoHyphens w:val="0"/>
              <w:autoSpaceDN/>
              <w:spacing w:after="0" w:line="300" w:lineRule="atLeast"/>
              <w:rPr>
                <w:sz w:val="22"/>
                <w:szCs w:val="22"/>
              </w:rPr>
            </w:pPr>
          </w:p>
        </w:tc>
        <w:tc>
          <w:tcPr>
            <w:tcW w:w="467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50B" w14:textId="49D66C04" w:rsidR="00A73A38" w:rsidRPr="007A0C27" w:rsidRDefault="004D31A8" w:rsidP="0083620A">
            <w:pPr>
              <w:suppressAutoHyphens w:val="0"/>
              <w:autoSpaceDN/>
              <w:spacing w:after="0" w:line="300" w:lineRule="atLeast"/>
              <w:rPr>
                <w:rFonts w:cs="Arial"/>
                <w:color w:val="auto"/>
              </w:rPr>
            </w:pPr>
            <w:r>
              <w:rPr>
                <w:rFonts w:cs="Arial"/>
                <w:color w:val="auto"/>
              </w:rPr>
              <w:t xml:space="preserve">More </w:t>
            </w:r>
            <w:r w:rsidR="0083620A" w:rsidRPr="0083620A">
              <w:rPr>
                <w:rFonts w:cs="Arial"/>
                <w:color w:val="auto"/>
              </w:rPr>
              <w:t>disadvantaged pupils meet the expected standard in the Year 1 Phonics Screening Check. The attainment gap between disadvantaged and non-disadvantaged pupils is reduced</w:t>
            </w:r>
            <w:r>
              <w:rPr>
                <w:rFonts w:cs="Arial"/>
                <w:color w:val="auto"/>
              </w:rPr>
              <w:t>.</w:t>
            </w:r>
          </w:p>
        </w:tc>
      </w:tr>
      <w:tr w:rsidR="00A73A38" w14:paraId="2A7D550F" w14:textId="77777777" w:rsidTr="3AA5B316">
        <w:tc>
          <w:tcPr>
            <w:tcW w:w="48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6338A66" w14:textId="12514EDD" w:rsidR="007A0C27" w:rsidRPr="007A0C27" w:rsidRDefault="007A0C27" w:rsidP="007A0C27">
            <w:pPr>
              <w:suppressAutoHyphens w:val="0"/>
              <w:autoSpaceDN/>
              <w:spacing w:after="0" w:line="300" w:lineRule="atLeast"/>
              <w:rPr>
                <w:rFonts w:cs="Arial"/>
                <w:color w:val="auto"/>
              </w:rPr>
            </w:pPr>
            <w:r w:rsidRPr="007A0C27">
              <w:rPr>
                <w:rFonts w:cs="Arial"/>
                <w:color w:val="auto"/>
              </w:rPr>
              <w:t>Improved attainment in reading, writing and mathematics, particularly in KS1.</w:t>
            </w:r>
          </w:p>
          <w:p w14:paraId="2A7D550D" w14:textId="798498E8" w:rsidR="00A73A38" w:rsidRDefault="00A73A38" w:rsidP="00A73A38">
            <w:pPr>
              <w:pStyle w:val="TableRow"/>
              <w:rPr>
                <w:sz w:val="22"/>
                <w:szCs w:val="22"/>
              </w:rPr>
            </w:pPr>
          </w:p>
        </w:tc>
        <w:tc>
          <w:tcPr>
            <w:tcW w:w="467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50E" w14:textId="5BDBDC47" w:rsidR="00921FCF" w:rsidRPr="007A0C27" w:rsidRDefault="004D31A8" w:rsidP="0083620A">
            <w:pPr>
              <w:suppressAutoHyphens w:val="0"/>
              <w:autoSpaceDN/>
              <w:spacing w:after="0" w:line="300" w:lineRule="atLeast"/>
              <w:rPr>
                <w:rFonts w:cs="Arial"/>
                <w:color w:val="auto"/>
              </w:rPr>
            </w:pPr>
            <w:r>
              <w:rPr>
                <w:rFonts w:cs="Arial"/>
                <w:color w:val="auto"/>
              </w:rPr>
              <w:t xml:space="preserve">More </w:t>
            </w:r>
            <w:r w:rsidR="0083620A" w:rsidRPr="0083620A">
              <w:rPr>
                <w:rFonts w:cs="Arial"/>
                <w:color w:val="auto"/>
              </w:rPr>
              <w:t>disadvantaged pupils achieve age-related expectations in reading, writing and mathematics at the end of KS1. Attainment gaps between disadvantaged and non-disadvantaged pupils reduce across year groups.</w:t>
            </w:r>
          </w:p>
        </w:tc>
      </w:tr>
      <w:tr w:rsidR="00F526C3" w14:paraId="3A72EC69" w14:textId="77777777" w:rsidTr="3AA5B316">
        <w:tc>
          <w:tcPr>
            <w:tcW w:w="48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43B7B60" w14:textId="77777777" w:rsidR="007A0C27" w:rsidRPr="007A0C27" w:rsidRDefault="007A0C27" w:rsidP="007A0C27">
            <w:pPr>
              <w:suppressAutoHyphens w:val="0"/>
              <w:autoSpaceDN/>
              <w:spacing w:after="0" w:line="300" w:lineRule="atLeast"/>
              <w:rPr>
                <w:rFonts w:cs="Arial"/>
                <w:color w:val="auto"/>
              </w:rPr>
            </w:pPr>
            <w:r w:rsidRPr="007A0C27">
              <w:rPr>
                <w:rFonts w:cs="Arial"/>
                <w:color w:val="auto"/>
              </w:rPr>
              <w:lastRenderedPageBreak/>
              <w:t>Improved outcomes for disadvantaged pupils with SEND and additional vulnerabilities</w:t>
            </w:r>
          </w:p>
          <w:p w14:paraId="243AAF19" w14:textId="45D9CA55" w:rsidR="00F526C3" w:rsidRDefault="00F526C3" w:rsidP="00A73A38">
            <w:pPr>
              <w:pStyle w:val="TableRow"/>
              <w:rPr>
                <w:sz w:val="22"/>
                <w:szCs w:val="22"/>
              </w:rPr>
            </w:pPr>
          </w:p>
        </w:tc>
        <w:tc>
          <w:tcPr>
            <w:tcW w:w="467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A5C1A89" w14:textId="2FD38266" w:rsidR="00F526C3" w:rsidRPr="0083620A" w:rsidRDefault="0083620A" w:rsidP="0083620A">
            <w:pPr>
              <w:suppressAutoHyphens w:val="0"/>
              <w:autoSpaceDN/>
              <w:spacing w:after="0" w:line="300" w:lineRule="atLeast"/>
              <w:rPr>
                <w:rFonts w:cs="Arial"/>
                <w:color w:val="auto"/>
              </w:rPr>
            </w:pPr>
            <w:r w:rsidRPr="0083620A">
              <w:rPr>
                <w:rFonts w:cs="Arial"/>
                <w:color w:val="auto"/>
              </w:rPr>
              <w:t xml:space="preserve">Disadvantaged pupils with SEND make strong progress from their individual starting points. Improved attendance, engagement and attainment are evident through assessment information and </w:t>
            </w:r>
            <w:r>
              <w:rPr>
                <w:rFonts w:cs="Arial"/>
                <w:color w:val="auto"/>
              </w:rPr>
              <w:t xml:space="preserve">personalised </w:t>
            </w:r>
            <w:r w:rsidRPr="0083620A">
              <w:rPr>
                <w:rFonts w:cs="Arial"/>
                <w:color w:val="auto"/>
              </w:rPr>
              <w:t>provision reviews.</w:t>
            </w:r>
          </w:p>
        </w:tc>
      </w:tr>
      <w:tr w:rsidR="007A0C27" w14:paraId="3B647E0E" w14:textId="77777777" w:rsidTr="3AA5B316">
        <w:tc>
          <w:tcPr>
            <w:tcW w:w="48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E617D0E" w14:textId="0D075DCD" w:rsidR="007A0C27" w:rsidRPr="007A0C27" w:rsidRDefault="007A0C27" w:rsidP="007A0C27">
            <w:pPr>
              <w:suppressAutoHyphens w:val="0"/>
              <w:autoSpaceDN/>
              <w:spacing w:after="0" w:line="300" w:lineRule="atLeast"/>
              <w:rPr>
                <w:rFonts w:cs="Arial"/>
                <w:color w:val="auto"/>
              </w:rPr>
            </w:pPr>
            <w:r w:rsidRPr="007A0C27">
              <w:rPr>
                <w:rFonts w:cs="Arial"/>
                <w:color w:val="auto"/>
              </w:rPr>
              <w:t>Improved access to enrichment and wider opportunities.</w:t>
            </w:r>
          </w:p>
          <w:p w14:paraId="29E11E2A" w14:textId="77777777" w:rsidR="007A0C27" w:rsidRPr="007A0C27" w:rsidRDefault="007A0C27" w:rsidP="007A0C27">
            <w:pPr>
              <w:suppressAutoHyphens w:val="0"/>
              <w:autoSpaceDN/>
              <w:spacing w:after="0" w:line="300" w:lineRule="atLeast"/>
              <w:rPr>
                <w:rFonts w:cs="Arial"/>
                <w:color w:val="auto"/>
              </w:rPr>
            </w:pPr>
          </w:p>
        </w:tc>
        <w:tc>
          <w:tcPr>
            <w:tcW w:w="467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C4EF046" w14:textId="376E1B0B" w:rsidR="007A0C27" w:rsidRPr="007A0C27" w:rsidRDefault="004D31A8" w:rsidP="007A0C27">
            <w:pPr>
              <w:suppressAutoHyphens w:val="0"/>
              <w:autoSpaceDN/>
              <w:spacing w:after="0" w:line="300" w:lineRule="atLeast"/>
              <w:rPr>
                <w:rFonts w:cs="Arial"/>
                <w:color w:val="auto"/>
              </w:rPr>
            </w:pPr>
            <w:r>
              <w:rPr>
                <w:rFonts w:cs="Arial"/>
                <w:color w:val="auto"/>
              </w:rPr>
              <w:t xml:space="preserve">More </w:t>
            </w:r>
            <w:r w:rsidR="0083620A" w:rsidRPr="0083620A">
              <w:rPr>
                <w:rFonts w:cs="Arial"/>
                <w:color w:val="auto"/>
              </w:rPr>
              <w:t>disadvantaged pupils participate in clubs, educational visits, performances, sporting events or residential experiences. Financial barriers do not prevent participation in the wider life of the school.</w:t>
            </w:r>
          </w:p>
        </w:tc>
      </w:tr>
    </w:tbl>
    <w:p w14:paraId="7F646AC4" w14:textId="77777777" w:rsidR="0083620A" w:rsidRDefault="0083620A" w:rsidP="0083620A">
      <w:pPr>
        <w:suppressAutoHyphens w:val="0"/>
        <w:autoSpaceDN/>
        <w:spacing w:after="0" w:line="300" w:lineRule="atLeast"/>
        <w:rPr>
          <w:rFonts w:cs="Arial"/>
          <w:color w:val="auto"/>
        </w:rPr>
      </w:pPr>
    </w:p>
    <w:p w14:paraId="60BAD9F6" w14:textId="1B6012EE" w:rsidR="00120AB1" w:rsidRPr="004D31A8" w:rsidRDefault="0083620A" w:rsidP="004D31A8">
      <w:pPr>
        <w:suppressAutoHyphens w:val="0"/>
        <w:autoSpaceDN/>
        <w:spacing w:after="0" w:line="300" w:lineRule="atLeast"/>
        <w:rPr>
          <w:rFonts w:cs="Arial"/>
          <w:color w:val="auto"/>
        </w:rPr>
      </w:pPr>
      <w:r w:rsidRPr="0083620A">
        <w:rPr>
          <w:rFonts w:cs="Arial"/>
          <w:color w:val="auto"/>
        </w:rPr>
        <w:t>Progress towards these outcomes will be monitored termly through attainment data, attendance data, intervention reviews, pupil voice, book scrutiny, lesson visits and participation records, with actions adapted where necessary to maximise impact for disadvantaged pupils</w:t>
      </w:r>
      <w:r w:rsidR="00D22747">
        <w:rPr>
          <w:rFonts w:cs="Arial"/>
          <w:color w:val="auto"/>
        </w:rPr>
        <w:t>.</w:t>
      </w:r>
    </w:p>
    <w:p w14:paraId="2A7D5512" w14:textId="3DDFBEF1" w:rsidR="00E66558" w:rsidRDefault="00120AB1" w:rsidP="00D33CA1">
      <w:pPr>
        <w:suppressAutoHyphens w:val="0"/>
        <w:spacing w:after="0" w:line="240" w:lineRule="auto"/>
        <w:rPr>
          <w:b/>
          <w:bCs/>
          <w:sz w:val="36"/>
          <w:szCs w:val="36"/>
        </w:rPr>
      </w:pPr>
      <w:r>
        <w:br w:type="page"/>
      </w:r>
      <w:r w:rsidR="009D71E8" w:rsidRPr="00D33CA1">
        <w:rPr>
          <w:b/>
          <w:bCs/>
          <w:sz w:val="36"/>
          <w:szCs w:val="36"/>
        </w:rPr>
        <w:lastRenderedPageBreak/>
        <w:t>Activity in this academic year</w:t>
      </w:r>
    </w:p>
    <w:p w14:paraId="4BACEB1B" w14:textId="77777777" w:rsidR="00D33CA1" w:rsidRPr="00D33CA1" w:rsidRDefault="00D33CA1" w:rsidP="00D33CA1">
      <w:pPr>
        <w:suppressAutoHyphens w:val="0"/>
        <w:spacing w:after="0" w:line="240" w:lineRule="auto"/>
        <w:rPr>
          <w:b/>
          <w:bCs/>
          <w:color w:val="104F75"/>
          <w:sz w:val="36"/>
          <w:szCs w:val="36"/>
        </w:rPr>
      </w:pPr>
    </w:p>
    <w:p w14:paraId="2A7D5513" w14:textId="77777777" w:rsidR="00E66558" w:rsidRDefault="009D71E8">
      <w:pPr>
        <w:spacing w:after="480"/>
      </w:pPr>
      <w:r>
        <w:t xml:space="preserve">This details how we intend to spend our pupil premium (and recovery premium funding) </w:t>
      </w:r>
      <w:r>
        <w:rPr>
          <w:b/>
          <w:bCs/>
        </w:rPr>
        <w:t>this academic year</w:t>
      </w:r>
      <w:r>
        <w:t xml:space="preserve"> to address the challenges listed above.</w:t>
      </w:r>
    </w:p>
    <w:p w14:paraId="2A7D5514" w14:textId="77777777" w:rsidR="00E66558" w:rsidRDefault="009D71E8">
      <w:pPr>
        <w:pStyle w:val="Heading3"/>
      </w:pPr>
      <w:r>
        <w:t>Teaching (for example, CPD, recruitment and retention)</w:t>
      </w:r>
    </w:p>
    <w:p w14:paraId="2A7D5515" w14:textId="3D2E321A" w:rsidR="00E66558" w:rsidRDefault="009D71E8" w:rsidP="3AA5B316">
      <w:pPr>
        <w:rPr>
          <w:i/>
          <w:iCs/>
          <w:highlight w:val="yellow"/>
        </w:rPr>
      </w:pPr>
      <w:r>
        <w:t xml:space="preserve">Budgeted cost: </w:t>
      </w:r>
      <w:r w:rsidR="00906872" w:rsidRPr="3AA5B316">
        <w:rPr>
          <w:i/>
          <w:iCs/>
        </w:rPr>
        <w:t xml:space="preserve"> </w:t>
      </w:r>
      <w:r w:rsidR="009840A5">
        <w:rPr>
          <w:i/>
          <w:iCs/>
        </w:rPr>
        <w:t>£130,000</w:t>
      </w:r>
    </w:p>
    <w:tbl>
      <w:tblPr>
        <w:tblW w:w="5000" w:type="pct"/>
        <w:tblCellMar>
          <w:left w:w="10" w:type="dxa"/>
          <w:right w:w="10" w:type="dxa"/>
        </w:tblCellMar>
        <w:tblLook w:val="04A0" w:firstRow="1" w:lastRow="0" w:firstColumn="1" w:lastColumn="0" w:noHBand="0" w:noVBand="1"/>
      </w:tblPr>
      <w:tblGrid>
        <w:gridCol w:w="2830"/>
        <w:gridCol w:w="5103"/>
        <w:gridCol w:w="1553"/>
      </w:tblGrid>
      <w:tr w:rsidR="00E66558" w14:paraId="2A7D5519" w14:textId="77777777" w:rsidTr="009840A5">
        <w:tc>
          <w:tcPr>
            <w:tcW w:w="283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tcPr>
          <w:p w14:paraId="2A7D5516" w14:textId="77777777" w:rsidR="00E66558" w:rsidRDefault="009D71E8">
            <w:pPr>
              <w:pStyle w:val="TableHeader"/>
              <w:jc w:val="left"/>
            </w:pPr>
            <w:r>
              <w:t>Activity</w:t>
            </w: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tcPr>
          <w:p w14:paraId="2A7D5517" w14:textId="77777777" w:rsidR="00E66558" w:rsidRDefault="009D71E8">
            <w:pPr>
              <w:pStyle w:val="TableHeader"/>
              <w:jc w:val="left"/>
            </w:pPr>
            <w:r>
              <w:t>Evidence that supports this approach</w:t>
            </w:r>
          </w:p>
        </w:tc>
        <w:tc>
          <w:tcPr>
            <w:tcW w:w="155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tcPr>
          <w:p w14:paraId="2A7D5518" w14:textId="77777777" w:rsidR="00E66558" w:rsidRDefault="009D71E8">
            <w:pPr>
              <w:pStyle w:val="TableHeader"/>
              <w:jc w:val="left"/>
            </w:pPr>
            <w:r>
              <w:t>Challenge number(s) addressed</w:t>
            </w:r>
          </w:p>
        </w:tc>
      </w:tr>
      <w:tr w:rsidR="00A73A38" w14:paraId="2A7D5521" w14:textId="77777777" w:rsidTr="009840A5">
        <w:tc>
          <w:tcPr>
            <w:tcW w:w="28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51E" w14:textId="340C4465" w:rsidR="00A73A38" w:rsidRPr="00C14D32" w:rsidRDefault="009840A5" w:rsidP="009840A5">
            <w:pPr>
              <w:pStyle w:val="TableRow"/>
              <w:spacing w:before="0"/>
              <w:ind w:left="0"/>
              <w:jc w:val="both"/>
              <w:rPr>
                <w:rFonts w:cs="Arial"/>
                <w:i/>
                <w:iCs/>
                <w:sz w:val="22"/>
                <w:szCs w:val="22"/>
                <w:highlight w:val="yellow"/>
              </w:rPr>
            </w:pPr>
            <w:r w:rsidRPr="00C14D32">
              <w:rPr>
                <w:rFonts w:cs="Arial"/>
              </w:rPr>
              <w:t xml:space="preserve">Continued staff development in adaptive teaching, </w:t>
            </w:r>
            <w:proofErr w:type="spellStart"/>
            <w:r w:rsidRPr="00C14D32">
              <w:rPr>
                <w:rFonts w:cs="Arial"/>
              </w:rPr>
              <w:t>Rosenshine’s</w:t>
            </w:r>
            <w:proofErr w:type="spellEnd"/>
            <w:r w:rsidRPr="00C14D32">
              <w:rPr>
                <w:rFonts w:cs="Arial"/>
              </w:rPr>
              <w:t xml:space="preserve"> Principles, retrieval practice, metacognition and Kagan Cooperative Learning Structures. Staff will use carefully planned collaborative structures to increase engagement, pupil talk, participation and accountability in learning.</w:t>
            </w: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51F" w14:textId="738B1A2A" w:rsidR="0098476B" w:rsidRPr="00C14D32" w:rsidRDefault="009840A5" w:rsidP="009840A5">
            <w:pPr>
              <w:shd w:val="clear" w:color="auto" w:fill="FFFFFF"/>
              <w:suppressAutoHyphens w:val="0"/>
              <w:autoSpaceDN/>
              <w:spacing w:after="60" w:line="240" w:lineRule="auto"/>
              <w:rPr>
                <w:rFonts w:cs="Arial"/>
                <w:color w:val="202124"/>
                <w:sz w:val="22"/>
                <w:szCs w:val="22"/>
              </w:rPr>
            </w:pPr>
            <w:r w:rsidRPr="00C14D32">
              <w:rPr>
                <w:rFonts w:cs="Arial"/>
              </w:rPr>
              <w:t>The EEF states that high-quality teaching has the greatest impact on closing the disadvantage gap. Metacognition and self-regulation approaches can provide up to seven months additional progress. Collaborative learning approaches have been shown to deliver an average of five months additional progress when carefully structured and implemented.</w:t>
            </w:r>
          </w:p>
        </w:tc>
        <w:tc>
          <w:tcPr>
            <w:tcW w:w="15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520" w14:textId="5C4CABE8" w:rsidR="00A73A38" w:rsidRDefault="009840A5" w:rsidP="009840A5">
            <w:pPr>
              <w:pStyle w:val="TableRowCentered"/>
              <w:spacing w:before="0"/>
              <w:ind w:left="0"/>
              <w:jc w:val="left"/>
              <w:rPr>
                <w:sz w:val="22"/>
              </w:rPr>
            </w:pPr>
            <w:r w:rsidRPr="0057464C">
              <w:rPr>
                <w:rFonts w:ascii="Times New Roman" w:hAnsi="Times New Roman"/>
                <w:szCs w:val="24"/>
              </w:rPr>
              <w:t>4, 5</w:t>
            </w:r>
          </w:p>
        </w:tc>
      </w:tr>
      <w:tr w:rsidR="00A73A38" w14:paraId="4CE0F600" w14:textId="77777777" w:rsidTr="009840A5">
        <w:tc>
          <w:tcPr>
            <w:tcW w:w="28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05D4A2D" w14:textId="39D61DCA" w:rsidR="009840A5" w:rsidRPr="00C14D32" w:rsidRDefault="009840A5" w:rsidP="009840A5">
            <w:pPr>
              <w:suppressAutoHyphens w:val="0"/>
              <w:autoSpaceDN/>
              <w:spacing w:after="0" w:line="300" w:lineRule="atLeast"/>
              <w:rPr>
                <w:rFonts w:cs="Arial"/>
                <w:color w:val="auto"/>
              </w:rPr>
            </w:pPr>
            <w:r w:rsidRPr="00C14D32">
              <w:rPr>
                <w:rFonts w:cs="Arial"/>
                <w:color w:val="auto"/>
              </w:rPr>
              <w:t>Embed Voice 21 oracy approaches, Kagan Cooperative Learning Structures, explicit vocabulary instruction and reading fluency strategies across the curriculum</w:t>
            </w:r>
            <w:r w:rsidR="005B4A53" w:rsidRPr="00C14D32">
              <w:rPr>
                <w:rFonts w:cs="Arial"/>
                <w:color w:val="auto"/>
              </w:rPr>
              <w:t>.</w:t>
            </w:r>
          </w:p>
          <w:p w14:paraId="20109448" w14:textId="40A11417" w:rsidR="00A73A38" w:rsidRPr="00C14D32" w:rsidRDefault="00A73A38" w:rsidP="00A73A38">
            <w:pPr>
              <w:pStyle w:val="TableRow"/>
              <w:rPr>
                <w:rFonts w:cs="Arial"/>
                <w:i/>
                <w:sz w:val="22"/>
              </w:rPr>
            </w:pP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7155171" w14:textId="1DCA8056" w:rsidR="00A73A38" w:rsidRPr="00C14D32" w:rsidRDefault="009840A5" w:rsidP="005B4A53">
            <w:pPr>
              <w:suppressAutoHyphens w:val="0"/>
              <w:autoSpaceDN/>
              <w:spacing w:after="0" w:line="300" w:lineRule="atLeast"/>
              <w:rPr>
                <w:rFonts w:cs="Arial"/>
                <w:color w:val="auto"/>
              </w:rPr>
            </w:pPr>
            <w:r w:rsidRPr="00C14D32">
              <w:rPr>
                <w:rFonts w:cs="Arial"/>
                <w:color w:val="auto"/>
              </w:rPr>
              <w:t xml:space="preserve">Oral language interventions have an average impact of </w:t>
            </w:r>
            <w:r w:rsidRPr="00C14D32">
              <w:rPr>
                <w:rFonts w:cs="Arial"/>
                <w:b/>
                <w:bCs/>
                <w:color w:val="auto"/>
              </w:rPr>
              <w:t>+6 months' additional progress</w:t>
            </w:r>
            <w:r w:rsidRPr="00C14D32">
              <w:rPr>
                <w:rFonts w:cs="Arial"/>
                <w:color w:val="auto"/>
              </w:rPr>
              <w:t>, with particularly positive outcomes for disadvantaged pupils. Structured talk, cooperative learning and explicit vocabulary teaching improve language development, engagement and comprehension. Reading fluency approaches, including echo reading, choral reading and repeated reading, support automaticity, confidence and understanding, enabling pupils to access the wider curriculum more successfully</w:t>
            </w:r>
            <w:r w:rsidR="005B4A53" w:rsidRPr="00C14D32">
              <w:rPr>
                <w:rFonts w:cs="Arial"/>
                <w:color w:val="auto"/>
              </w:rPr>
              <w:t>.</w:t>
            </w:r>
          </w:p>
        </w:tc>
        <w:tc>
          <w:tcPr>
            <w:tcW w:w="15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7E23A3C" w14:textId="4ACEEA26" w:rsidR="00A73A38" w:rsidRDefault="005B4A53" w:rsidP="00A73A38">
            <w:pPr>
              <w:pStyle w:val="TableRowCentered"/>
              <w:jc w:val="left"/>
              <w:rPr>
                <w:sz w:val="22"/>
              </w:rPr>
            </w:pPr>
            <w:r>
              <w:rPr>
                <w:sz w:val="22"/>
              </w:rPr>
              <w:t>1, 4, 5</w:t>
            </w:r>
          </w:p>
        </w:tc>
      </w:tr>
      <w:tr w:rsidR="00CA5A37" w14:paraId="261E2305" w14:textId="77777777" w:rsidTr="009840A5">
        <w:tc>
          <w:tcPr>
            <w:tcW w:w="28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9174428" w14:textId="04DF4E25" w:rsidR="00006B49" w:rsidRPr="00C14D32" w:rsidRDefault="005B4A53" w:rsidP="00006B49">
            <w:pPr>
              <w:pStyle w:val="TableRow"/>
              <w:ind w:left="0"/>
              <w:rPr>
                <w:rFonts w:cs="Arial"/>
                <w:i/>
                <w:iCs/>
                <w:sz w:val="22"/>
                <w:szCs w:val="22"/>
                <w:highlight w:val="yellow"/>
              </w:rPr>
            </w:pPr>
            <w:r w:rsidRPr="00C14D32">
              <w:rPr>
                <w:rFonts w:cs="Arial"/>
              </w:rPr>
              <w:t>Ongoing</w:t>
            </w:r>
            <w:r w:rsidR="00655A8B" w:rsidRPr="00C14D32">
              <w:rPr>
                <w:rFonts w:cs="Arial"/>
              </w:rPr>
              <w:t xml:space="preserve"> </w:t>
            </w:r>
            <w:proofErr w:type="spellStart"/>
            <w:r w:rsidRPr="00C14D32">
              <w:rPr>
                <w:rFonts w:cs="Arial"/>
              </w:rPr>
              <w:t>RWInc</w:t>
            </w:r>
            <w:proofErr w:type="spellEnd"/>
            <w:r w:rsidRPr="00C14D32">
              <w:rPr>
                <w:rFonts w:cs="Arial"/>
              </w:rPr>
              <w:t xml:space="preserve"> training, coaching and quality assurance to strengthen phonics teaching and early reading.</w:t>
            </w: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C9E7E49" w14:textId="625376F5" w:rsidR="00006B49" w:rsidRPr="00C14D32" w:rsidRDefault="005B4A53" w:rsidP="007729C5">
            <w:pPr>
              <w:pStyle w:val="TableRowCentered"/>
              <w:jc w:val="left"/>
              <w:rPr>
                <w:rFonts w:cs="Arial"/>
                <w:color w:val="202124"/>
                <w:sz w:val="22"/>
                <w:szCs w:val="22"/>
                <w:shd w:val="clear" w:color="auto" w:fill="FFFFFF"/>
              </w:rPr>
            </w:pPr>
            <w:r w:rsidRPr="00C14D32">
              <w:rPr>
                <w:rFonts w:cs="Arial"/>
                <w:szCs w:val="24"/>
              </w:rPr>
              <w:t>Phonics approaches have a strong evidence base and are particularly effective for younger disadvantaged pupils.</w:t>
            </w:r>
          </w:p>
        </w:tc>
        <w:tc>
          <w:tcPr>
            <w:tcW w:w="15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E67EF58" w14:textId="370776F0" w:rsidR="00CA5A37" w:rsidRDefault="005B4A53" w:rsidP="00A73A38">
            <w:pPr>
              <w:pStyle w:val="TableRowCentered"/>
              <w:jc w:val="left"/>
              <w:rPr>
                <w:sz w:val="22"/>
              </w:rPr>
            </w:pPr>
            <w:r>
              <w:rPr>
                <w:sz w:val="22"/>
              </w:rPr>
              <w:t>3</w:t>
            </w:r>
          </w:p>
          <w:p w14:paraId="5EBF6EF4" w14:textId="77777777" w:rsidR="00006B49" w:rsidRDefault="00006B49" w:rsidP="00A73A38">
            <w:pPr>
              <w:pStyle w:val="TableRowCentered"/>
              <w:jc w:val="left"/>
              <w:rPr>
                <w:sz w:val="22"/>
              </w:rPr>
            </w:pPr>
          </w:p>
          <w:p w14:paraId="1EE182DF" w14:textId="77777777" w:rsidR="00006B49" w:rsidRDefault="00006B49" w:rsidP="00A73A38">
            <w:pPr>
              <w:pStyle w:val="TableRowCentered"/>
              <w:jc w:val="left"/>
              <w:rPr>
                <w:sz w:val="22"/>
              </w:rPr>
            </w:pPr>
          </w:p>
          <w:p w14:paraId="103D63FA" w14:textId="77777777" w:rsidR="00006B49" w:rsidRDefault="00006B49" w:rsidP="00A73A38">
            <w:pPr>
              <w:pStyle w:val="TableRowCentered"/>
              <w:jc w:val="left"/>
              <w:rPr>
                <w:sz w:val="22"/>
              </w:rPr>
            </w:pPr>
          </w:p>
          <w:p w14:paraId="775F827E" w14:textId="30280A6B" w:rsidR="009840A5" w:rsidRDefault="009840A5" w:rsidP="005B4A53">
            <w:pPr>
              <w:pStyle w:val="TableRowCentered"/>
              <w:ind w:left="0"/>
              <w:jc w:val="left"/>
              <w:rPr>
                <w:sz w:val="22"/>
              </w:rPr>
            </w:pPr>
          </w:p>
        </w:tc>
      </w:tr>
      <w:tr w:rsidR="005B4A53" w14:paraId="575DE0E5" w14:textId="77777777" w:rsidTr="009840A5">
        <w:tc>
          <w:tcPr>
            <w:tcW w:w="28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DD990E4" w14:textId="421CA64C" w:rsidR="005B4A53" w:rsidRPr="00C14D32" w:rsidRDefault="005B4A53" w:rsidP="00006B49">
            <w:pPr>
              <w:pStyle w:val="TableRow"/>
              <w:ind w:left="0"/>
              <w:rPr>
                <w:rFonts w:cs="Arial"/>
                <w:i/>
                <w:iCs/>
                <w:sz w:val="22"/>
                <w:szCs w:val="22"/>
              </w:rPr>
            </w:pPr>
            <w:r w:rsidRPr="00C14D32">
              <w:rPr>
                <w:rFonts w:cs="Arial"/>
              </w:rPr>
              <w:lastRenderedPageBreak/>
              <w:t>Writing professional development, moderation and curriculum refinement.</w:t>
            </w: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E986CDE" w14:textId="42137A29" w:rsidR="005B4A53" w:rsidRPr="00C14D32" w:rsidRDefault="005B4A53" w:rsidP="005B4A53">
            <w:pPr>
              <w:suppressAutoHyphens w:val="0"/>
              <w:autoSpaceDN/>
              <w:spacing w:after="0" w:line="300" w:lineRule="atLeast"/>
              <w:rPr>
                <w:rFonts w:cs="Arial"/>
                <w:color w:val="auto"/>
              </w:rPr>
            </w:pPr>
            <w:r w:rsidRPr="00C14D32">
              <w:rPr>
                <w:rFonts w:cs="Arial"/>
                <w:color w:val="auto"/>
              </w:rPr>
              <w:t>High-quality teaching has the greatest impact on pupil attainment. The EEF identifies effective professional development as a key mechanism for improving teaching quality and pupil outcomes, particularly for disadvantaged pupils.</w:t>
            </w:r>
          </w:p>
        </w:tc>
        <w:tc>
          <w:tcPr>
            <w:tcW w:w="15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3F3107" w14:textId="411447CE" w:rsidR="005B4A53" w:rsidRDefault="005B4A53" w:rsidP="00A73A38">
            <w:pPr>
              <w:pStyle w:val="TableRowCentered"/>
              <w:jc w:val="left"/>
              <w:rPr>
                <w:sz w:val="22"/>
              </w:rPr>
            </w:pPr>
            <w:r>
              <w:rPr>
                <w:sz w:val="22"/>
              </w:rPr>
              <w:t>4, 5</w:t>
            </w:r>
          </w:p>
          <w:p w14:paraId="3AE5AA79" w14:textId="77777777" w:rsidR="005B4A53" w:rsidRDefault="005B4A53" w:rsidP="00A73A38">
            <w:pPr>
              <w:pStyle w:val="TableRowCentered"/>
              <w:jc w:val="left"/>
              <w:rPr>
                <w:sz w:val="22"/>
              </w:rPr>
            </w:pPr>
          </w:p>
          <w:p w14:paraId="3074D8F0" w14:textId="77777777" w:rsidR="005B4A53" w:rsidRDefault="005B4A53" w:rsidP="00A73A38">
            <w:pPr>
              <w:pStyle w:val="TableRowCentered"/>
              <w:jc w:val="left"/>
              <w:rPr>
                <w:sz w:val="22"/>
              </w:rPr>
            </w:pPr>
          </w:p>
          <w:p w14:paraId="38956C05" w14:textId="17C9B6C1" w:rsidR="005B4A53" w:rsidRDefault="005B4A53" w:rsidP="00A73A38">
            <w:pPr>
              <w:pStyle w:val="TableRowCentered"/>
              <w:jc w:val="left"/>
              <w:rPr>
                <w:sz w:val="22"/>
              </w:rPr>
            </w:pPr>
          </w:p>
        </w:tc>
      </w:tr>
      <w:tr w:rsidR="005B4A53" w14:paraId="59DEE0B9" w14:textId="77777777" w:rsidTr="009840A5">
        <w:tc>
          <w:tcPr>
            <w:tcW w:w="28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19DE9A9" w14:textId="73594A02" w:rsidR="005B4A53" w:rsidRPr="00C14D32" w:rsidRDefault="005B4A53" w:rsidP="00006B49">
            <w:pPr>
              <w:pStyle w:val="TableRow"/>
              <w:ind w:left="0"/>
              <w:rPr>
                <w:rFonts w:cs="Arial"/>
              </w:rPr>
            </w:pPr>
            <w:r w:rsidRPr="00C14D32">
              <w:rPr>
                <w:rFonts w:cs="Arial"/>
              </w:rPr>
              <w:t>Further development of adaptive teaching strategies for disadvantaged pupils with SEND.</w:t>
            </w:r>
          </w:p>
        </w:tc>
        <w:tc>
          <w:tcPr>
            <w:tcW w:w="510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1F9EB23" w14:textId="77777777" w:rsidR="005B4A53" w:rsidRPr="00C14D32" w:rsidRDefault="005B4A53" w:rsidP="005B4A53">
            <w:pPr>
              <w:suppressAutoHyphens w:val="0"/>
              <w:autoSpaceDN/>
              <w:spacing w:after="0" w:line="300" w:lineRule="atLeast"/>
              <w:rPr>
                <w:rFonts w:cs="Arial"/>
                <w:color w:val="auto"/>
              </w:rPr>
            </w:pPr>
            <w:r w:rsidRPr="00C14D32">
              <w:rPr>
                <w:rFonts w:cs="Arial"/>
                <w:color w:val="auto"/>
              </w:rPr>
              <w:t>The EEF identifies scaffolding, explicit instruction and diagnostic assessment as important elements of high-quality teaching. Responsive teaching and effective scaffolding improve access to the curriculum, support pupils to overcome barriers to learning and contribute to improved outcomes, particularly for disadvantaged pupils.</w:t>
            </w:r>
          </w:p>
          <w:p w14:paraId="6219C2A6" w14:textId="5F46EC63" w:rsidR="005B4A53" w:rsidRPr="00C14D32" w:rsidRDefault="005B4A53" w:rsidP="005B4A53">
            <w:pPr>
              <w:pStyle w:val="TableRowCentered"/>
              <w:ind w:left="0"/>
              <w:jc w:val="left"/>
              <w:rPr>
                <w:rFonts w:cs="Arial"/>
                <w:szCs w:val="24"/>
              </w:rPr>
            </w:pPr>
          </w:p>
        </w:tc>
        <w:tc>
          <w:tcPr>
            <w:tcW w:w="15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14D345F" w14:textId="46D1E2FA" w:rsidR="005B4A53" w:rsidRDefault="005B4A53" w:rsidP="00A73A38">
            <w:pPr>
              <w:pStyle w:val="TableRowCentered"/>
              <w:jc w:val="left"/>
              <w:rPr>
                <w:sz w:val="22"/>
              </w:rPr>
            </w:pPr>
            <w:r>
              <w:rPr>
                <w:sz w:val="22"/>
              </w:rPr>
              <w:t>5</w:t>
            </w:r>
          </w:p>
        </w:tc>
      </w:tr>
    </w:tbl>
    <w:p w14:paraId="2A7D5522" w14:textId="77777777" w:rsidR="00E66558" w:rsidRDefault="00E66558">
      <w:pPr>
        <w:keepNext/>
        <w:spacing w:after="60"/>
        <w:outlineLvl w:val="1"/>
      </w:pPr>
    </w:p>
    <w:p w14:paraId="2A7D5523" w14:textId="1DC08891" w:rsidR="00E66558" w:rsidRDefault="009D71E8">
      <w:pPr>
        <w:rPr>
          <w:b/>
          <w:bCs/>
          <w:color w:val="104F75"/>
          <w:sz w:val="28"/>
          <w:szCs w:val="28"/>
        </w:rPr>
      </w:pPr>
      <w:r>
        <w:rPr>
          <w:b/>
          <w:bCs/>
          <w:color w:val="104F75"/>
          <w:sz w:val="28"/>
          <w:szCs w:val="28"/>
        </w:rPr>
        <w:t xml:space="preserve">Targeted academic support (for example, </w:t>
      </w:r>
      <w:r w:rsidR="00D33FE5">
        <w:rPr>
          <w:b/>
          <w:bCs/>
          <w:color w:val="104F75"/>
          <w:sz w:val="28"/>
          <w:szCs w:val="28"/>
        </w:rPr>
        <w:t xml:space="preserve">tutoring, one-to-one support </w:t>
      </w:r>
      <w:r>
        <w:rPr>
          <w:b/>
          <w:bCs/>
          <w:color w:val="104F75"/>
          <w:sz w:val="28"/>
          <w:szCs w:val="28"/>
        </w:rPr>
        <w:t xml:space="preserve">structured interventions) </w:t>
      </w:r>
    </w:p>
    <w:p w14:paraId="2A7D5524" w14:textId="5F60BAB5" w:rsidR="00E66558" w:rsidRPr="00077830" w:rsidRDefault="009D71E8" w:rsidP="3AA5B316">
      <w:pPr>
        <w:rPr>
          <w:i/>
          <w:iCs/>
        </w:rPr>
      </w:pPr>
      <w:r>
        <w:t xml:space="preserve">Budgeted cost: </w:t>
      </w:r>
      <w:r w:rsidR="005B4A53">
        <w:t>£15,000</w:t>
      </w:r>
    </w:p>
    <w:tbl>
      <w:tblPr>
        <w:tblW w:w="5000" w:type="pct"/>
        <w:tblCellMar>
          <w:left w:w="10" w:type="dxa"/>
          <w:right w:w="10" w:type="dxa"/>
        </w:tblCellMar>
        <w:tblLook w:val="04A0" w:firstRow="1" w:lastRow="0" w:firstColumn="1" w:lastColumn="0" w:noHBand="0" w:noVBand="1"/>
      </w:tblPr>
      <w:tblGrid>
        <w:gridCol w:w="2688"/>
        <w:gridCol w:w="5245"/>
        <w:gridCol w:w="1553"/>
      </w:tblGrid>
      <w:tr w:rsidR="00E66558" w14:paraId="2A7D5528" w14:textId="77777777" w:rsidTr="00886110">
        <w:tc>
          <w:tcPr>
            <w:tcW w:w="2688"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25" w14:textId="77777777" w:rsidR="00E66558" w:rsidRDefault="009D71E8">
            <w:pPr>
              <w:pStyle w:val="TableHeader"/>
              <w:jc w:val="left"/>
            </w:pPr>
            <w:r>
              <w:t>Activity</w:t>
            </w:r>
          </w:p>
        </w:tc>
        <w:tc>
          <w:tcPr>
            <w:tcW w:w="5245"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26" w14:textId="77777777" w:rsidR="00E66558" w:rsidRDefault="009D71E8">
            <w:pPr>
              <w:pStyle w:val="TableHeader"/>
              <w:jc w:val="left"/>
            </w:pPr>
            <w:r>
              <w:t>Evidence that supports this approach</w:t>
            </w:r>
          </w:p>
        </w:tc>
        <w:tc>
          <w:tcPr>
            <w:tcW w:w="1553" w:type="dxa"/>
            <w:tcBorders>
              <w:top w:val="single" w:sz="4" w:space="0" w:color="000000"/>
              <w:left w:val="single" w:sz="4" w:space="0" w:color="000000"/>
              <w:bottom w:val="single" w:sz="4" w:space="0" w:color="000000"/>
              <w:right w:val="single" w:sz="4" w:space="0" w:color="000000"/>
            </w:tcBorders>
            <w:shd w:val="clear" w:color="auto" w:fill="D8E2E9"/>
            <w:tcMar>
              <w:top w:w="0" w:type="dxa"/>
              <w:left w:w="108" w:type="dxa"/>
              <w:bottom w:w="0" w:type="dxa"/>
              <w:right w:w="108" w:type="dxa"/>
            </w:tcMar>
          </w:tcPr>
          <w:p w14:paraId="2A7D5527" w14:textId="77777777" w:rsidR="00E66558" w:rsidRDefault="009D71E8">
            <w:pPr>
              <w:pStyle w:val="TableHeader"/>
              <w:jc w:val="left"/>
            </w:pPr>
            <w:r>
              <w:t>Challenge number(s) addressed</w:t>
            </w:r>
          </w:p>
        </w:tc>
      </w:tr>
      <w:tr w:rsidR="00E66558" w14:paraId="2A7D552C" w14:textId="77777777" w:rsidTr="00886110">
        <w:tc>
          <w:tcPr>
            <w:tcW w:w="26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29" w14:textId="21DAEB5D" w:rsidR="00F757E9" w:rsidRPr="00C14D32" w:rsidRDefault="005B4A53" w:rsidP="00E10E2C">
            <w:pPr>
              <w:pStyle w:val="TableRow"/>
              <w:ind w:left="0"/>
              <w:rPr>
                <w:rFonts w:cs="Arial"/>
                <w:sz w:val="20"/>
                <w:szCs w:val="20"/>
              </w:rPr>
            </w:pPr>
            <w:r w:rsidRPr="00C14D32">
              <w:rPr>
                <w:rFonts w:cs="Arial"/>
              </w:rPr>
              <w:t>Early phonics intervention and close monitoring of pupils at risk of not meeting the expected standard. Reviews of the lowest-attaining readers, including decoding accuracy, fluency and application of phonics knowledge.</w:t>
            </w:r>
          </w:p>
        </w:tc>
        <w:tc>
          <w:tcPr>
            <w:tcW w:w="5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2A" w14:textId="5EF57B3F" w:rsidR="00B76DF9" w:rsidRPr="00C14D32" w:rsidRDefault="005B4A53" w:rsidP="00B76DF9">
            <w:pPr>
              <w:pStyle w:val="NoSpacing"/>
              <w:rPr>
                <w:rFonts w:cs="Arial"/>
              </w:rPr>
            </w:pPr>
            <w:r w:rsidRPr="00C14D32">
              <w:rPr>
                <w:rFonts w:cs="Arial"/>
              </w:rPr>
              <w:t>Small-group phonics intervention is most effective when delivered consistently and targeted to specific need. Regular assessment ensures provision remains responsive and effective.</w:t>
            </w:r>
          </w:p>
        </w:tc>
        <w:tc>
          <w:tcPr>
            <w:tcW w:w="15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2B" w14:textId="0A85F695" w:rsidR="00E66558" w:rsidRDefault="005B4A53">
            <w:pPr>
              <w:pStyle w:val="TableRowCentered"/>
              <w:jc w:val="left"/>
              <w:rPr>
                <w:sz w:val="22"/>
              </w:rPr>
            </w:pPr>
            <w:r>
              <w:rPr>
                <w:sz w:val="22"/>
              </w:rPr>
              <w:t>3</w:t>
            </w:r>
          </w:p>
        </w:tc>
      </w:tr>
      <w:tr w:rsidR="00E66558" w14:paraId="2A7D5530" w14:textId="77777777" w:rsidTr="00886110">
        <w:tc>
          <w:tcPr>
            <w:tcW w:w="26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2D" w14:textId="37AD43B8" w:rsidR="002E341B" w:rsidRPr="00C14D32" w:rsidRDefault="005B4A53" w:rsidP="00F526C3">
            <w:pPr>
              <w:pStyle w:val="TableRow"/>
              <w:ind w:left="0"/>
              <w:rPr>
                <w:rFonts w:cs="Arial"/>
                <w:i/>
                <w:sz w:val="22"/>
              </w:rPr>
            </w:pPr>
            <w:r w:rsidRPr="00C14D32">
              <w:rPr>
                <w:rFonts w:cs="Arial"/>
              </w:rPr>
              <w:t>Reading fluency and comprehension interventions across KS1 and KS2.</w:t>
            </w:r>
          </w:p>
        </w:tc>
        <w:tc>
          <w:tcPr>
            <w:tcW w:w="5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08E1EF" w14:textId="77777777" w:rsidR="005B4A53" w:rsidRPr="00C14D32" w:rsidRDefault="005B4A53" w:rsidP="005B4A53">
            <w:pPr>
              <w:suppressAutoHyphens w:val="0"/>
              <w:autoSpaceDN/>
              <w:spacing w:after="0" w:line="300" w:lineRule="atLeast"/>
              <w:rPr>
                <w:rFonts w:cs="Arial"/>
                <w:color w:val="auto"/>
              </w:rPr>
            </w:pPr>
            <w:r w:rsidRPr="00C14D32">
              <w:rPr>
                <w:rFonts w:cs="Arial"/>
                <w:color w:val="auto"/>
              </w:rPr>
              <w:t>Reading comprehension strategies (+6 months) and small-group tuition (+4 months) are high-impact, cost-effective approaches according to the EEF. Developing reading fluency through regular, structured practice improves accuracy, automaticity and comprehension, helping disadvantaged pupils access the wider curriculum more successfully.</w:t>
            </w:r>
          </w:p>
          <w:p w14:paraId="2A7D552E" w14:textId="6F0D85E2" w:rsidR="00AE6259" w:rsidRPr="00C14D32" w:rsidRDefault="00AE6259" w:rsidP="005B4A53">
            <w:pPr>
              <w:pStyle w:val="TableRowCentered"/>
              <w:ind w:left="0"/>
              <w:jc w:val="left"/>
              <w:rPr>
                <w:rFonts w:cs="Arial"/>
                <w:sz w:val="22"/>
              </w:rPr>
            </w:pPr>
          </w:p>
        </w:tc>
        <w:tc>
          <w:tcPr>
            <w:tcW w:w="15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2F" w14:textId="09092CA7" w:rsidR="00E66558" w:rsidRDefault="005B4A53">
            <w:pPr>
              <w:pStyle w:val="TableRowCentered"/>
              <w:jc w:val="left"/>
              <w:rPr>
                <w:sz w:val="22"/>
              </w:rPr>
            </w:pPr>
            <w:r>
              <w:rPr>
                <w:sz w:val="22"/>
              </w:rPr>
              <w:t>3, 4</w:t>
            </w:r>
          </w:p>
        </w:tc>
      </w:tr>
      <w:tr w:rsidR="002846C5" w14:paraId="76D12C19" w14:textId="77777777" w:rsidTr="00886110">
        <w:tc>
          <w:tcPr>
            <w:tcW w:w="26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545030" w14:textId="44D71FC0" w:rsidR="002E341B" w:rsidRPr="00C14D32" w:rsidRDefault="005B4A53" w:rsidP="002E341B">
            <w:pPr>
              <w:pStyle w:val="TableRow"/>
              <w:ind w:left="0"/>
              <w:rPr>
                <w:rFonts w:cs="Arial"/>
                <w:i/>
                <w:sz w:val="22"/>
              </w:rPr>
            </w:pPr>
            <w:r w:rsidRPr="00C14D32">
              <w:rPr>
                <w:rFonts w:cs="Arial"/>
              </w:rPr>
              <w:t xml:space="preserve">Vocabulary, language and communication interventions, </w:t>
            </w:r>
            <w:r w:rsidRPr="00C14D32">
              <w:rPr>
                <w:rFonts w:cs="Arial"/>
              </w:rPr>
              <w:lastRenderedPageBreak/>
              <w:t>including Talk Boost and EAL support.</w:t>
            </w:r>
          </w:p>
        </w:tc>
        <w:tc>
          <w:tcPr>
            <w:tcW w:w="5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AF8200" w14:textId="77777777" w:rsidR="006769EE" w:rsidRPr="00C14D32" w:rsidRDefault="006769EE" w:rsidP="006769EE">
            <w:pPr>
              <w:suppressAutoHyphens w:val="0"/>
              <w:autoSpaceDN/>
              <w:spacing w:after="0" w:line="300" w:lineRule="atLeast"/>
              <w:rPr>
                <w:rFonts w:cs="Arial"/>
                <w:color w:val="auto"/>
              </w:rPr>
            </w:pPr>
            <w:r w:rsidRPr="00C14D32">
              <w:rPr>
                <w:rFonts w:cs="Arial"/>
                <w:color w:val="auto"/>
              </w:rPr>
              <w:lastRenderedPageBreak/>
              <w:t xml:space="preserve">Phonics approaches have a strong evidence base, particularly for disadvantaged pupils. </w:t>
            </w:r>
            <w:r w:rsidRPr="00C14D32">
              <w:rPr>
                <w:rFonts w:cs="Arial"/>
                <w:color w:val="auto"/>
              </w:rPr>
              <w:lastRenderedPageBreak/>
              <w:t xml:space="preserve">Reading fluency interventions improve accuracy, automaticity and comprehension, while EMTASS support enhances language acquisition and curriculum access for EAL learners. Reading comprehension strategies have an average impact of </w:t>
            </w:r>
            <w:r w:rsidRPr="00C14D32">
              <w:rPr>
                <w:rFonts w:cs="Arial"/>
                <w:b/>
                <w:bCs/>
                <w:color w:val="auto"/>
              </w:rPr>
              <w:t>+</w:t>
            </w:r>
            <w:r w:rsidRPr="00C14D32">
              <w:rPr>
                <w:rFonts w:cs="Arial"/>
                <w:bCs/>
                <w:color w:val="auto"/>
              </w:rPr>
              <w:t>6 months' additional progress</w:t>
            </w:r>
            <w:r w:rsidRPr="00C14D32">
              <w:rPr>
                <w:rFonts w:cs="Arial"/>
                <w:color w:val="auto"/>
              </w:rPr>
              <w:t xml:space="preserve"> according to the EEF. Together, these approaches improve reading outcomes across the curriculum</w:t>
            </w:r>
          </w:p>
          <w:p w14:paraId="7594FD87" w14:textId="78D011FC" w:rsidR="0082076C" w:rsidRPr="00C14D32" w:rsidRDefault="0082076C" w:rsidP="002E341B">
            <w:pPr>
              <w:shd w:val="clear" w:color="auto" w:fill="FFFFFF"/>
              <w:suppressAutoHyphens w:val="0"/>
              <w:autoSpaceDN/>
              <w:spacing w:after="60" w:line="240" w:lineRule="auto"/>
              <w:rPr>
                <w:rFonts w:cs="Arial"/>
                <w:color w:val="202124"/>
                <w:sz w:val="22"/>
                <w:szCs w:val="22"/>
              </w:rPr>
            </w:pPr>
          </w:p>
        </w:tc>
        <w:tc>
          <w:tcPr>
            <w:tcW w:w="15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CF17CE" w14:textId="7A5686B0" w:rsidR="002846C5" w:rsidRDefault="006769EE">
            <w:pPr>
              <w:pStyle w:val="TableRowCentered"/>
              <w:jc w:val="left"/>
              <w:rPr>
                <w:sz w:val="22"/>
              </w:rPr>
            </w:pPr>
            <w:r>
              <w:rPr>
                <w:sz w:val="22"/>
              </w:rPr>
              <w:lastRenderedPageBreak/>
              <w:t>1</w:t>
            </w:r>
          </w:p>
        </w:tc>
      </w:tr>
      <w:tr w:rsidR="006769EE" w14:paraId="029A7C6D" w14:textId="77777777" w:rsidTr="00886110">
        <w:tc>
          <w:tcPr>
            <w:tcW w:w="26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F600E0" w14:textId="6153455E" w:rsidR="006769EE" w:rsidRPr="00C14D32" w:rsidRDefault="006769EE" w:rsidP="002E341B">
            <w:pPr>
              <w:pStyle w:val="TableRow"/>
              <w:ind w:left="0"/>
              <w:rPr>
                <w:rFonts w:cs="Arial"/>
              </w:rPr>
            </w:pPr>
            <w:r w:rsidRPr="00C14D32">
              <w:rPr>
                <w:rFonts w:cs="Arial"/>
              </w:rPr>
              <w:t>Mathematics intervention and Mastering Number approaches across school.</w:t>
            </w:r>
          </w:p>
        </w:tc>
        <w:tc>
          <w:tcPr>
            <w:tcW w:w="5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8C75EE" w14:textId="7483F03E" w:rsidR="006769EE" w:rsidRPr="00C14D32" w:rsidRDefault="006769EE" w:rsidP="006769EE">
            <w:pPr>
              <w:suppressAutoHyphens w:val="0"/>
              <w:autoSpaceDN/>
              <w:spacing w:after="0" w:line="300" w:lineRule="atLeast"/>
              <w:rPr>
                <w:rFonts w:cs="Arial"/>
                <w:color w:val="auto"/>
              </w:rPr>
            </w:pPr>
            <w:r w:rsidRPr="00C14D32">
              <w:rPr>
                <w:rFonts w:cs="Arial"/>
              </w:rPr>
              <w:t>Evidence from NCETM and the EEF demonstrates improvements in fluency, confidence and mathematical understanding.</w:t>
            </w:r>
          </w:p>
        </w:tc>
        <w:tc>
          <w:tcPr>
            <w:tcW w:w="15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94FC29" w14:textId="04A4758F" w:rsidR="006769EE" w:rsidRDefault="006769EE">
            <w:pPr>
              <w:pStyle w:val="TableRowCentered"/>
              <w:jc w:val="left"/>
              <w:rPr>
                <w:sz w:val="22"/>
              </w:rPr>
            </w:pPr>
            <w:r>
              <w:rPr>
                <w:sz w:val="22"/>
              </w:rPr>
              <w:t>4</w:t>
            </w:r>
          </w:p>
        </w:tc>
      </w:tr>
      <w:tr w:rsidR="006769EE" w14:paraId="6092B07D" w14:textId="77777777" w:rsidTr="00886110">
        <w:tc>
          <w:tcPr>
            <w:tcW w:w="26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70DFA4" w14:textId="7689A205" w:rsidR="006769EE" w:rsidRPr="00C14D32" w:rsidRDefault="006769EE" w:rsidP="002E341B">
            <w:pPr>
              <w:pStyle w:val="TableRow"/>
              <w:ind w:left="0"/>
              <w:rPr>
                <w:rFonts w:cs="Arial"/>
              </w:rPr>
            </w:pPr>
            <w:r w:rsidRPr="00C14D32">
              <w:rPr>
                <w:rFonts w:cs="Arial"/>
              </w:rPr>
              <w:t>Structured intervention programmes for disadvantaged pupils with SEND and additional vulnerabilities.</w:t>
            </w:r>
          </w:p>
        </w:tc>
        <w:tc>
          <w:tcPr>
            <w:tcW w:w="5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406926" w14:textId="5D34E374" w:rsidR="006769EE" w:rsidRPr="00C14D32" w:rsidRDefault="006769EE" w:rsidP="006769EE">
            <w:pPr>
              <w:suppressAutoHyphens w:val="0"/>
              <w:autoSpaceDN/>
              <w:spacing w:after="0" w:line="300" w:lineRule="atLeast"/>
              <w:rPr>
                <w:rFonts w:cs="Arial"/>
              </w:rPr>
            </w:pPr>
            <w:r w:rsidRPr="00C14D32">
              <w:rPr>
                <w:rFonts w:cs="Arial"/>
              </w:rPr>
              <w:t>Diagnostic assessment and personalised support improve outcomes where barriers are clearly identified.</w:t>
            </w:r>
          </w:p>
        </w:tc>
        <w:tc>
          <w:tcPr>
            <w:tcW w:w="15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0EB716" w14:textId="5106B96C" w:rsidR="006769EE" w:rsidRDefault="006769EE">
            <w:pPr>
              <w:pStyle w:val="TableRowCentered"/>
              <w:jc w:val="left"/>
              <w:rPr>
                <w:sz w:val="22"/>
              </w:rPr>
            </w:pPr>
            <w:r>
              <w:rPr>
                <w:sz w:val="22"/>
              </w:rPr>
              <w:t>5</w:t>
            </w:r>
          </w:p>
        </w:tc>
      </w:tr>
    </w:tbl>
    <w:p w14:paraId="02A12452" w14:textId="77777777" w:rsidR="004975D2" w:rsidRDefault="004975D2">
      <w:pPr>
        <w:rPr>
          <w:b/>
          <w:color w:val="104F75"/>
          <w:sz w:val="28"/>
          <w:szCs w:val="28"/>
        </w:rPr>
      </w:pPr>
    </w:p>
    <w:p w14:paraId="2A7D5532" w14:textId="514C9947" w:rsidR="00E66558" w:rsidRDefault="009D71E8">
      <w:pPr>
        <w:rPr>
          <w:b/>
          <w:color w:val="104F75"/>
          <w:sz w:val="28"/>
          <w:szCs w:val="28"/>
        </w:rPr>
      </w:pPr>
      <w:r>
        <w:rPr>
          <w:b/>
          <w:color w:val="104F75"/>
          <w:sz w:val="28"/>
          <w:szCs w:val="28"/>
        </w:rPr>
        <w:t>Wider strategies (for example, related to attendance, behaviour, wellbeing)</w:t>
      </w:r>
    </w:p>
    <w:p w14:paraId="2A7D5533" w14:textId="53AE1F11" w:rsidR="00E66558" w:rsidRDefault="009D71E8">
      <w:pPr>
        <w:spacing w:before="240" w:after="120"/>
      </w:pPr>
      <w:r>
        <w:t xml:space="preserve">Budgeted cost: </w:t>
      </w:r>
      <w:r w:rsidR="000B0A07" w:rsidRPr="00AB1D5A">
        <w:t>£</w:t>
      </w:r>
      <w:r w:rsidR="006769EE">
        <w:t>5240</w:t>
      </w:r>
    </w:p>
    <w:tbl>
      <w:tblPr>
        <w:tblW w:w="5000" w:type="pct"/>
        <w:tblCellMar>
          <w:left w:w="10" w:type="dxa"/>
          <w:right w:w="10" w:type="dxa"/>
        </w:tblCellMar>
        <w:tblLook w:val="04A0" w:firstRow="1" w:lastRow="0" w:firstColumn="1" w:lastColumn="0" w:noHBand="0" w:noVBand="1"/>
      </w:tblPr>
      <w:tblGrid>
        <w:gridCol w:w="2688"/>
        <w:gridCol w:w="5245"/>
        <w:gridCol w:w="1553"/>
      </w:tblGrid>
      <w:tr w:rsidR="00E66558" w14:paraId="2A7D5537" w14:textId="77777777" w:rsidTr="3AA5B316">
        <w:tc>
          <w:tcPr>
            <w:tcW w:w="26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tcPr>
          <w:p w14:paraId="2A7D5534" w14:textId="77777777" w:rsidR="00E66558" w:rsidRDefault="009D71E8">
            <w:pPr>
              <w:pStyle w:val="TableHeader"/>
              <w:jc w:val="left"/>
            </w:pPr>
            <w:r>
              <w:t>Activity</w:t>
            </w:r>
          </w:p>
        </w:tc>
        <w:tc>
          <w:tcPr>
            <w:tcW w:w="52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tcPr>
          <w:p w14:paraId="2A7D5535" w14:textId="77777777" w:rsidR="00E66558" w:rsidRDefault="009D71E8">
            <w:pPr>
              <w:pStyle w:val="TableHeader"/>
              <w:jc w:val="left"/>
            </w:pPr>
            <w:r>
              <w:t>Evidence that supports this approach</w:t>
            </w:r>
          </w:p>
        </w:tc>
        <w:tc>
          <w:tcPr>
            <w:tcW w:w="155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tcPr>
          <w:p w14:paraId="2A7D5536" w14:textId="77777777" w:rsidR="00E66558" w:rsidRDefault="009D71E8">
            <w:pPr>
              <w:pStyle w:val="TableHeader"/>
              <w:jc w:val="left"/>
            </w:pPr>
            <w:r>
              <w:t>Challenge number(s) addressed</w:t>
            </w:r>
          </w:p>
        </w:tc>
      </w:tr>
      <w:tr w:rsidR="001918C0" w14:paraId="64D1CA80" w14:textId="77777777" w:rsidTr="3AA5B316">
        <w:tc>
          <w:tcPr>
            <w:tcW w:w="268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46543E8" w14:textId="392308EC" w:rsidR="001A2A5F" w:rsidRPr="00C14D32" w:rsidRDefault="006769EE" w:rsidP="001A2A5F">
            <w:pPr>
              <w:pStyle w:val="TableRow"/>
              <w:rPr>
                <w:rFonts w:cs="Arial"/>
                <w:i/>
                <w:iCs/>
                <w:sz w:val="22"/>
                <w:szCs w:val="22"/>
              </w:rPr>
            </w:pPr>
            <w:r w:rsidRPr="00C14D32">
              <w:rPr>
                <w:rFonts w:cs="Arial"/>
              </w:rPr>
              <w:t>Continued Family Support Worker provision, attendance support and family engagement.</w:t>
            </w:r>
          </w:p>
        </w:tc>
        <w:tc>
          <w:tcPr>
            <w:tcW w:w="52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BEAE52A" w14:textId="62749E47" w:rsidR="001918C0" w:rsidRPr="00C14D32" w:rsidRDefault="006769EE">
            <w:pPr>
              <w:pStyle w:val="TableRowCentered"/>
              <w:jc w:val="left"/>
              <w:rPr>
                <w:rFonts w:cs="Arial"/>
                <w:color w:val="202124"/>
                <w:sz w:val="22"/>
                <w:szCs w:val="22"/>
                <w:shd w:val="clear" w:color="auto" w:fill="FFFFFF"/>
              </w:rPr>
            </w:pPr>
            <w:r w:rsidRPr="00C14D32">
              <w:rPr>
                <w:rFonts w:cs="Arial"/>
                <w:szCs w:val="24"/>
              </w:rPr>
              <w:t>DfE guidance highlights the strong link between attendance and educational outcomes. Building positive relationships with families improves engagement and attendance.</w:t>
            </w:r>
          </w:p>
        </w:tc>
        <w:tc>
          <w:tcPr>
            <w:tcW w:w="15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D66337B" w14:textId="74DBD618" w:rsidR="001918C0" w:rsidRDefault="006769EE">
            <w:pPr>
              <w:pStyle w:val="TableRowCentered"/>
              <w:jc w:val="left"/>
              <w:rPr>
                <w:sz w:val="22"/>
              </w:rPr>
            </w:pPr>
            <w:r>
              <w:rPr>
                <w:sz w:val="22"/>
              </w:rPr>
              <w:t>2, 5</w:t>
            </w:r>
          </w:p>
        </w:tc>
      </w:tr>
      <w:tr w:rsidR="00A73A38" w14:paraId="3939F9AE" w14:textId="77777777" w:rsidTr="3AA5B316">
        <w:tc>
          <w:tcPr>
            <w:tcW w:w="268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F56CAAC" w14:textId="066BD57A" w:rsidR="00A73A38" w:rsidRPr="00C14D32" w:rsidRDefault="006769EE" w:rsidP="00A73A38">
            <w:pPr>
              <w:pStyle w:val="TableRow"/>
              <w:rPr>
                <w:rFonts w:cs="Arial"/>
                <w:i/>
                <w:sz w:val="22"/>
              </w:rPr>
            </w:pPr>
            <w:r w:rsidRPr="00C14D32">
              <w:rPr>
                <w:rFonts w:cs="Arial"/>
              </w:rPr>
              <w:t>Attendance monitoring and targeted support for persistent absentees.</w:t>
            </w:r>
          </w:p>
        </w:tc>
        <w:tc>
          <w:tcPr>
            <w:tcW w:w="52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FA9FC67" w14:textId="683B983F" w:rsidR="00A73A38" w:rsidRPr="00C14D32" w:rsidRDefault="006769EE" w:rsidP="004975D2">
            <w:pPr>
              <w:suppressAutoHyphens w:val="0"/>
              <w:spacing w:after="0" w:line="300" w:lineRule="atLeast"/>
              <w:rPr>
                <w:rFonts w:cs="Arial"/>
                <w:color w:val="auto"/>
              </w:rPr>
            </w:pPr>
            <w:r w:rsidRPr="00C14D32">
              <w:rPr>
                <w:rFonts w:cs="Arial"/>
                <w:color w:val="auto"/>
              </w:rPr>
              <w:t>DfE guidance highlights the strong link between attendance and attainment, with persistent absence negatively affecting outcomes. Improving attendance increases access to high-quality teaching, targeted interventions and wider school opportunities, helping disadvantaged pupils achieve better outcomes.</w:t>
            </w:r>
          </w:p>
        </w:tc>
        <w:tc>
          <w:tcPr>
            <w:tcW w:w="15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744E60A" w14:textId="68EBD94B" w:rsidR="00A73A38" w:rsidRDefault="006769EE" w:rsidP="00A73A38">
            <w:pPr>
              <w:pStyle w:val="TableRowCentered"/>
              <w:jc w:val="left"/>
              <w:rPr>
                <w:sz w:val="22"/>
              </w:rPr>
            </w:pPr>
            <w:r>
              <w:rPr>
                <w:sz w:val="22"/>
              </w:rPr>
              <w:t>2</w:t>
            </w:r>
          </w:p>
        </w:tc>
      </w:tr>
      <w:tr w:rsidR="00D731ED" w14:paraId="2CDF259B" w14:textId="77777777" w:rsidTr="3AA5B316">
        <w:tc>
          <w:tcPr>
            <w:tcW w:w="268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60A437F" w14:textId="1EAEF18C" w:rsidR="006769EE" w:rsidRPr="00C14D32" w:rsidRDefault="006769EE" w:rsidP="00A73A38">
            <w:pPr>
              <w:pStyle w:val="TableRow"/>
              <w:rPr>
                <w:rFonts w:cs="Arial"/>
                <w:i/>
                <w:sz w:val="22"/>
              </w:rPr>
            </w:pPr>
            <w:r w:rsidRPr="00C14D32">
              <w:rPr>
                <w:rFonts w:cs="Arial"/>
              </w:rPr>
              <w:t>Financial support for educational visits, residentials, clubs and enrichment opportunities.</w:t>
            </w:r>
          </w:p>
        </w:tc>
        <w:tc>
          <w:tcPr>
            <w:tcW w:w="52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CC4245" w14:textId="1AAFE046" w:rsidR="00D731ED" w:rsidRPr="00C14D32" w:rsidRDefault="006769EE" w:rsidP="004975D2">
            <w:pPr>
              <w:suppressAutoHyphens w:val="0"/>
              <w:autoSpaceDN/>
              <w:spacing w:after="0" w:line="300" w:lineRule="atLeast"/>
              <w:rPr>
                <w:rFonts w:cs="Arial"/>
                <w:color w:val="auto"/>
              </w:rPr>
            </w:pPr>
            <w:r w:rsidRPr="00C14D32">
              <w:rPr>
                <w:rFonts w:cs="Arial"/>
                <w:color w:val="auto"/>
              </w:rPr>
              <w:t xml:space="preserve">The DfE identifies cultural capital as essential preparation for future success. Wider enrichment opportunities help broaden horizons, build confidence, increase engagement and raise aspirations, particularly for disadvantaged </w:t>
            </w:r>
            <w:r w:rsidRPr="00C14D32">
              <w:rPr>
                <w:rFonts w:cs="Arial"/>
                <w:color w:val="auto"/>
              </w:rPr>
              <w:lastRenderedPageBreak/>
              <w:t>pupils who may have fewer opportunities outside school</w:t>
            </w:r>
          </w:p>
        </w:tc>
        <w:tc>
          <w:tcPr>
            <w:tcW w:w="15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1171075" w14:textId="782079FD" w:rsidR="00D731ED" w:rsidRDefault="006769EE" w:rsidP="00A73A38">
            <w:pPr>
              <w:pStyle w:val="TableRowCentered"/>
              <w:jc w:val="left"/>
              <w:rPr>
                <w:sz w:val="22"/>
              </w:rPr>
            </w:pPr>
            <w:r>
              <w:rPr>
                <w:sz w:val="22"/>
              </w:rPr>
              <w:lastRenderedPageBreak/>
              <w:t>6</w:t>
            </w:r>
          </w:p>
        </w:tc>
      </w:tr>
      <w:tr w:rsidR="00554E13" w14:paraId="5250A8BC" w14:textId="77777777" w:rsidTr="3AA5B316">
        <w:tc>
          <w:tcPr>
            <w:tcW w:w="268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FE9B0C0" w14:textId="46118E4C" w:rsidR="00554E13" w:rsidRPr="00C14D32" w:rsidRDefault="00554E13" w:rsidP="00A73A38">
            <w:pPr>
              <w:pStyle w:val="TableRow"/>
              <w:rPr>
                <w:rFonts w:cs="Arial"/>
              </w:rPr>
            </w:pPr>
            <w:r w:rsidRPr="00C14D32">
              <w:rPr>
                <w:rFonts w:cs="Arial"/>
              </w:rPr>
              <w:t>SEMH support</w:t>
            </w:r>
            <w:r w:rsidR="004975D2" w:rsidRPr="00C14D32">
              <w:rPr>
                <w:rFonts w:cs="Arial"/>
              </w:rPr>
              <w:t>, trauma-informed, nurture support</w:t>
            </w:r>
            <w:r w:rsidRPr="00C14D32">
              <w:rPr>
                <w:rFonts w:cs="Arial"/>
              </w:rPr>
              <w:t xml:space="preserve"> and access to external services where required.</w:t>
            </w:r>
          </w:p>
        </w:tc>
        <w:tc>
          <w:tcPr>
            <w:tcW w:w="52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3740897" w14:textId="77777777" w:rsidR="004975D2" w:rsidRPr="00C14D32" w:rsidRDefault="00554E13" w:rsidP="004975D2">
            <w:pPr>
              <w:suppressAutoHyphens w:val="0"/>
              <w:spacing w:after="0" w:line="300" w:lineRule="atLeast"/>
              <w:rPr>
                <w:rFonts w:cs="Arial"/>
                <w:color w:val="auto"/>
                <w:sz w:val="21"/>
                <w:szCs w:val="21"/>
              </w:rPr>
            </w:pPr>
            <w:r w:rsidRPr="00C14D32">
              <w:rPr>
                <w:rFonts w:cs="Arial"/>
                <w:color w:val="auto"/>
              </w:rPr>
              <w:t xml:space="preserve">EEF evidence shows that social and emotional learning approaches can provide </w:t>
            </w:r>
            <w:r w:rsidRPr="00C14D32">
              <w:rPr>
                <w:rFonts w:cs="Arial"/>
                <w:b/>
                <w:bCs/>
                <w:color w:val="auto"/>
              </w:rPr>
              <w:t>+3 months’ additional progress</w:t>
            </w:r>
            <w:r w:rsidRPr="00C14D32">
              <w:rPr>
                <w:rFonts w:cs="Arial"/>
                <w:color w:val="auto"/>
              </w:rPr>
              <w:t>. Effective social and emotional support improves wellbeing, self-regulation, engagement and readiness to learn, helping disadvantaged pupils to achieve better academic outcomes</w:t>
            </w:r>
            <w:r w:rsidR="004975D2" w:rsidRPr="00C14D32">
              <w:rPr>
                <w:rFonts w:cs="Arial"/>
                <w:color w:val="auto"/>
              </w:rPr>
              <w:t>. EEF evidence shows that social and emotional learning approaches can provide +3 months' additional progress. Trauma-informed and nurture approaches support emotional regulation, wellbeing and engagement, helping pupils with SEMH needs to access learning and achieve positive outcomes</w:t>
            </w:r>
          </w:p>
          <w:p w14:paraId="532E9DFA" w14:textId="781CEE7F" w:rsidR="00554E13" w:rsidRPr="00C14D32" w:rsidRDefault="00554E13" w:rsidP="006769EE">
            <w:pPr>
              <w:suppressAutoHyphens w:val="0"/>
              <w:autoSpaceDN/>
              <w:spacing w:after="0" w:line="300" w:lineRule="atLeast"/>
              <w:rPr>
                <w:rFonts w:cs="Arial"/>
                <w:color w:val="auto"/>
              </w:rPr>
            </w:pPr>
          </w:p>
        </w:tc>
        <w:tc>
          <w:tcPr>
            <w:tcW w:w="15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E6F63B3" w14:textId="42BDF644" w:rsidR="00554E13" w:rsidRDefault="00554E13" w:rsidP="00A73A38">
            <w:pPr>
              <w:pStyle w:val="TableRowCentered"/>
              <w:jc w:val="left"/>
              <w:rPr>
                <w:sz w:val="22"/>
              </w:rPr>
            </w:pPr>
            <w:r>
              <w:rPr>
                <w:sz w:val="22"/>
              </w:rPr>
              <w:t>5</w:t>
            </w:r>
          </w:p>
        </w:tc>
      </w:tr>
      <w:tr w:rsidR="00554E13" w14:paraId="42AF8416" w14:textId="77777777" w:rsidTr="3AA5B316">
        <w:tc>
          <w:tcPr>
            <w:tcW w:w="268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47C100" w14:textId="626B145C" w:rsidR="00554E13" w:rsidRPr="00C14D32" w:rsidRDefault="00554E13" w:rsidP="00A73A38">
            <w:pPr>
              <w:pStyle w:val="TableRow"/>
              <w:rPr>
                <w:rFonts w:cs="Arial"/>
              </w:rPr>
            </w:pPr>
            <w:r w:rsidRPr="00C14D32">
              <w:rPr>
                <w:rFonts w:cs="Arial"/>
              </w:rPr>
              <w:t>Contingency support for families facing acute barriers</w:t>
            </w:r>
          </w:p>
        </w:tc>
        <w:tc>
          <w:tcPr>
            <w:tcW w:w="524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C3F065" w14:textId="5C03D2C5" w:rsidR="00554E13" w:rsidRPr="00C14D32" w:rsidRDefault="00554E13" w:rsidP="006769EE">
            <w:pPr>
              <w:suppressAutoHyphens w:val="0"/>
              <w:autoSpaceDN/>
              <w:spacing w:after="0" w:line="300" w:lineRule="atLeast"/>
              <w:rPr>
                <w:rFonts w:cs="Arial"/>
                <w:color w:val="auto"/>
              </w:rPr>
            </w:pPr>
            <w:r w:rsidRPr="00C14D32">
              <w:rPr>
                <w:rFonts w:cs="Arial"/>
              </w:rPr>
              <w:t>Enables rapid and effective response to emerging needs and ensures pupils remain fully included in school life.</w:t>
            </w:r>
          </w:p>
        </w:tc>
        <w:tc>
          <w:tcPr>
            <w:tcW w:w="15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BEA32E6" w14:textId="443F45F5" w:rsidR="00554E13" w:rsidRDefault="00554E13" w:rsidP="00A73A38">
            <w:pPr>
              <w:pStyle w:val="TableRowCentered"/>
              <w:jc w:val="left"/>
              <w:rPr>
                <w:sz w:val="22"/>
              </w:rPr>
            </w:pPr>
            <w:r>
              <w:rPr>
                <w:sz w:val="22"/>
              </w:rPr>
              <w:t>All</w:t>
            </w:r>
          </w:p>
        </w:tc>
      </w:tr>
    </w:tbl>
    <w:p w14:paraId="2A7D5540" w14:textId="77777777" w:rsidR="00E66558" w:rsidRDefault="00E66558">
      <w:pPr>
        <w:spacing w:before="240" w:after="0"/>
        <w:rPr>
          <w:b/>
          <w:bCs/>
          <w:color w:val="104F75"/>
          <w:sz w:val="28"/>
          <w:szCs w:val="28"/>
        </w:rPr>
      </w:pPr>
    </w:p>
    <w:p w14:paraId="2A7D5541" w14:textId="7B337576" w:rsidR="00E66558" w:rsidRDefault="009D71E8" w:rsidP="3AA5B316">
      <w:pPr>
        <w:rPr>
          <w:i/>
          <w:iCs/>
          <w:color w:val="104F75"/>
          <w:sz w:val="28"/>
          <w:szCs w:val="28"/>
        </w:rPr>
      </w:pPr>
      <w:r w:rsidRPr="00AB1D5A">
        <w:rPr>
          <w:b/>
          <w:bCs/>
          <w:color w:val="104F75"/>
          <w:sz w:val="28"/>
          <w:szCs w:val="28"/>
        </w:rPr>
        <w:t>Total budgeted cost: £</w:t>
      </w:r>
      <w:r w:rsidR="006769EE">
        <w:rPr>
          <w:i/>
          <w:iCs/>
          <w:color w:val="104F75"/>
          <w:sz w:val="28"/>
          <w:szCs w:val="28"/>
        </w:rPr>
        <w:t>149,240</w:t>
      </w:r>
    </w:p>
    <w:p w14:paraId="6E51AAAB" w14:textId="7D7EA80E" w:rsidR="00D22747" w:rsidRPr="00C14D32" w:rsidRDefault="00D22747" w:rsidP="00D22747">
      <w:pPr>
        <w:rPr>
          <w:rFonts w:cs="Arial"/>
          <w:b/>
        </w:rPr>
      </w:pPr>
      <w:r w:rsidRPr="00C14D32">
        <w:rPr>
          <w:rFonts w:cs="Arial"/>
          <w:b/>
        </w:rPr>
        <w:t>Implementation, Monitoring and Review</w:t>
      </w:r>
    </w:p>
    <w:p w14:paraId="524BA0B9" w14:textId="2E7AB4B5" w:rsidR="00D22747" w:rsidRPr="00C14D32" w:rsidRDefault="00D22747" w:rsidP="00D22747">
      <w:pPr>
        <w:pStyle w:val="NormalWeb"/>
        <w:spacing w:line="300" w:lineRule="atLeast"/>
        <w:jc w:val="both"/>
        <w:rPr>
          <w:rFonts w:ascii="Arial" w:hAnsi="Arial" w:cs="Arial"/>
        </w:rPr>
      </w:pPr>
      <w:r w:rsidRPr="00C14D32">
        <w:rPr>
          <w:rFonts w:ascii="Arial" w:hAnsi="Arial" w:cs="Arial"/>
        </w:rPr>
        <w:t xml:space="preserve">Our pupil premium strategy is implemented through a combination of high-quality teaching, targeted academic support and wider strategies. The pupil premium lead works closely with senior leaders, subject leaders and </w:t>
      </w:r>
      <w:r w:rsidR="004D31A8">
        <w:rPr>
          <w:rFonts w:ascii="Arial" w:hAnsi="Arial" w:cs="Arial"/>
        </w:rPr>
        <w:t>family support worker</w:t>
      </w:r>
      <w:r w:rsidRPr="00C14D32">
        <w:rPr>
          <w:rFonts w:ascii="Arial" w:hAnsi="Arial" w:cs="Arial"/>
        </w:rPr>
        <w:t xml:space="preserve"> to ensure that provision is evidence-informed, targeted appropriately and responsive to emerging needs. </w:t>
      </w:r>
    </w:p>
    <w:p w14:paraId="3A61BE10" w14:textId="77777777" w:rsidR="00D22747" w:rsidRPr="00C14D32" w:rsidRDefault="00D22747" w:rsidP="00D22747">
      <w:pPr>
        <w:pStyle w:val="NormalWeb"/>
        <w:spacing w:line="300" w:lineRule="atLeast"/>
        <w:rPr>
          <w:rFonts w:ascii="Arial" w:hAnsi="Arial" w:cs="Arial"/>
        </w:rPr>
      </w:pPr>
      <w:r w:rsidRPr="00C14D32">
        <w:rPr>
          <w:rFonts w:ascii="Arial" w:hAnsi="Arial" w:cs="Arial"/>
        </w:rPr>
        <w:t>Progress towards intended outcomes will be reviewed termly through:</w:t>
      </w:r>
    </w:p>
    <w:p w14:paraId="52C53205" w14:textId="6959359C" w:rsidR="00D22747" w:rsidRPr="00C14D32" w:rsidRDefault="00D22747" w:rsidP="00D22747">
      <w:pPr>
        <w:numPr>
          <w:ilvl w:val="0"/>
          <w:numId w:val="21"/>
        </w:numPr>
        <w:suppressAutoHyphens w:val="0"/>
        <w:autoSpaceDN/>
        <w:spacing w:before="100" w:beforeAutospacing="1" w:after="100" w:afterAutospacing="1" w:line="300" w:lineRule="atLeast"/>
        <w:rPr>
          <w:rFonts w:cs="Arial"/>
        </w:rPr>
      </w:pPr>
      <w:r w:rsidRPr="00C14D32">
        <w:rPr>
          <w:rFonts w:cs="Arial"/>
        </w:rPr>
        <w:t>attainment and progress data</w:t>
      </w:r>
    </w:p>
    <w:p w14:paraId="721CCB38" w14:textId="74C94B43" w:rsidR="00D22747" w:rsidRPr="00C14D32" w:rsidRDefault="00D22747" w:rsidP="00D22747">
      <w:pPr>
        <w:numPr>
          <w:ilvl w:val="0"/>
          <w:numId w:val="21"/>
        </w:numPr>
        <w:suppressAutoHyphens w:val="0"/>
        <w:autoSpaceDN/>
        <w:spacing w:before="100" w:beforeAutospacing="1" w:after="100" w:afterAutospacing="1" w:line="300" w:lineRule="atLeast"/>
        <w:rPr>
          <w:rFonts w:cs="Arial"/>
        </w:rPr>
      </w:pPr>
      <w:r w:rsidRPr="00C14D32">
        <w:rPr>
          <w:rFonts w:cs="Arial"/>
        </w:rPr>
        <w:t>phonics and reading assessments</w:t>
      </w:r>
    </w:p>
    <w:p w14:paraId="55AD28A4" w14:textId="0657E3C2" w:rsidR="00D22747" w:rsidRPr="00C14D32" w:rsidRDefault="00D22747" w:rsidP="00D22747">
      <w:pPr>
        <w:numPr>
          <w:ilvl w:val="0"/>
          <w:numId w:val="21"/>
        </w:numPr>
        <w:suppressAutoHyphens w:val="0"/>
        <w:autoSpaceDN/>
        <w:spacing w:before="100" w:beforeAutospacing="1" w:after="100" w:afterAutospacing="1" w:line="300" w:lineRule="atLeast"/>
        <w:rPr>
          <w:rFonts w:cs="Arial"/>
        </w:rPr>
      </w:pPr>
      <w:r w:rsidRPr="00C14D32">
        <w:rPr>
          <w:rFonts w:cs="Arial"/>
        </w:rPr>
        <w:t>attendance and persistent absence data</w:t>
      </w:r>
    </w:p>
    <w:p w14:paraId="6EFCFACF" w14:textId="402FD700" w:rsidR="00D22747" w:rsidRPr="00C14D32" w:rsidRDefault="00D22747" w:rsidP="00D22747">
      <w:pPr>
        <w:numPr>
          <w:ilvl w:val="0"/>
          <w:numId w:val="21"/>
        </w:numPr>
        <w:suppressAutoHyphens w:val="0"/>
        <w:autoSpaceDN/>
        <w:spacing w:before="100" w:beforeAutospacing="1" w:after="100" w:afterAutospacing="1" w:line="300" w:lineRule="atLeast"/>
        <w:rPr>
          <w:rFonts w:cs="Arial"/>
        </w:rPr>
      </w:pPr>
      <w:r w:rsidRPr="00C14D32">
        <w:rPr>
          <w:rFonts w:cs="Arial"/>
        </w:rPr>
        <w:t>intervention baseline and exit assessments</w:t>
      </w:r>
    </w:p>
    <w:p w14:paraId="7A2ED23A" w14:textId="60583268" w:rsidR="00D22747" w:rsidRPr="00C14D32" w:rsidRDefault="00D22747" w:rsidP="00D22747">
      <w:pPr>
        <w:numPr>
          <w:ilvl w:val="0"/>
          <w:numId w:val="21"/>
        </w:numPr>
        <w:suppressAutoHyphens w:val="0"/>
        <w:autoSpaceDN/>
        <w:spacing w:before="100" w:beforeAutospacing="1" w:after="100" w:afterAutospacing="1" w:line="300" w:lineRule="atLeast"/>
        <w:rPr>
          <w:rFonts w:cs="Arial"/>
        </w:rPr>
      </w:pPr>
      <w:r w:rsidRPr="00C14D32">
        <w:rPr>
          <w:rFonts w:cs="Arial"/>
        </w:rPr>
        <w:t>pupil voice</w:t>
      </w:r>
    </w:p>
    <w:p w14:paraId="71440529" w14:textId="3292AE27" w:rsidR="00D22747" w:rsidRPr="00C14D32" w:rsidRDefault="00D22747" w:rsidP="00D22747">
      <w:pPr>
        <w:numPr>
          <w:ilvl w:val="0"/>
          <w:numId w:val="21"/>
        </w:numPr>
        <w:suppressAutoHyphens w:val="0"/>
        <w:autoSpaceDN/>
        <w:spacing w:before="100" w:beforeAutospacing="1" w:after="100" w:afterAutospacing="1" w:line="300" w:lineRule="atLeast"/>
        <w:rPr>
          <w:rFonts w:cs="Arial"/>
        </w:rPr>
      </w:pPr>
      <w:r w:rsidRPr="00C14D32">
        <w:rPr>
          <w:rFonts w:cs="Arial"/>
        </w:rPr>
        <w:t>participation in enrichment opportunities</w:t>
      </w:r>
    </w:p>
    <w:p w14:paraId="2842FE5A" w14:textId="78C8C2F6" w:rsidR="00D22747" w:rsidRPr="00C14D32" w:rsidRDefault="00D22747" w:rsidP="00D22747">
      <w:pPr>
        <w:numPr>
          <w:ilvl w:val="0"/>
          <w:numId w:val="21"/>
        </w:numPr>
        <w:suppressAutoHyphens w:val="0"/>
        <w:autoSpaceDN/>
        <w:spacing w:before="100" w:beforeAutospacing="1" w:after="100" w:afterAutospacing="1" w:line="300" w:lineRule="atLeast"/>
        <w:rPr>
          <w:rFonts w:cs="Arial"/>
        </w:rPr>
      </w:pPr>
      <w:r w:rsidRPr="00C14D32">
        <w:rPr>
          <w:rFonts w:cs="Arial"/>
        </w:rPr>
        <w:t xml:space="preserve">lesson visits, book scrutiny and curriculum monitoring activities </w:t>
      </w:r>
    </w:p>
    <w:p w14:paraId="2D24787F" w14:textId="3F008C31" w:rsidR="00D22747" w:rsidRPr="00C14D32" w:rsidRDefault="00D22747" w:rsidP="00D22747">
      <w:pPr>
        <w:pStyle w:val="NormalWeb"/>
        <w:spacing w:line="300" w:lineRule="atLeast"/>
        <w:rPr>
          <w:rFonts w:ascii="Arial" w:hAnsi="Arial" w:cs="Arial"/>
        </w:rPr>
      </w:pPr>
      <w:r w:rsidRPr="00C14D32">
        <w:rPr>
          <w:rFonts w:ascii="Arial" w:hAnsi="Arial" w:cs="Arial"/>
        </w:rPr>
        <w:t>The impact of funded approaches will be evaluated regularly to determine value for money and effectiveness. Where evidence indicates that strategies are not having the intended impact, provision will be adapted to ensure resources continue to target the barriers faced by disadvantaged pupils.</w:t>
      </w:r>
    </w:p>
    <w:p w14:paraId="6B2F63A5" w14:textId="0AE350D1" w:rsidR="00D22747" w:rsidRPr="00C14D32" w:rsidRDefault="00D22747" w:rsidP="00D22747">
      <w:pPr>
        <w:pStyle w:val="NormalWeb"/>
        <w:spacing w:line="300" w:lineRule="atLeast"/>
        <w:rPr>
          <w:rFonts w:ascii="Arial" w:hAnsi="Arial" w:cs="Arial"/>
        </w:rPr>
      </w:pPr>
      <w:r w:rsidRPr="00C14D32">
        <w:rPr>
          <w:rFonts w:ascii="Arial" w:hAnsi="Arial" w:cs="Arial"/>
        </w:rPr>
        <w:t xml:space="preserve">The pupil premium lead will provide reports to governors on the impact of spending and progress towards intended outcomes. Governors will challenge and support leaders to </w:t>
      </w:r>
      <w:r w:rsidRPr="00C14D32">
        <w:rPr>
          <w:rFonts w:ascii="Arial" w:hAnsi="Arial" w:cs="Arial"/>
        </w:rPr>
        <w:lastRenderedPageBreak/>
        <w:t xml:space="preserve">ensure funding is used effectively and that disadvantaged pupils receive the support required to achieve their potential. </w:t>
      </w:r>
    </w:p>
    <w:p w14:paraId="4DA02A88" w14:textId="6E90E992" w:rsidR="00D22747" w:rsidRPr="00D22747" w:rsidRDefault="00D22747" w:rsidP="00D22747">
      <w:pPr>
        <w:pStyle w:val="NormalWeb"/>
        <w:spacing w:line="300" w:lineRule="atLeast"/>
        <w:rPr>
          <w:rFonts w:ascii="Arial" w:hAnsi="Arial" w:cs="Arial"/>
          <w:b/>
        </w:rPr>
      </w:pPr>
      <w:r w:rsidRPr="00D22747">
        <w:rPr>
          <w:rFonts w:ascii="Arial" w:hAnsi="Arial" w:cs="Arial"/>
          <w:b/>
        </w:rPr>
        <w:t xml:space="preserve">Review Cycle </w:t>
      </w:r>
    </w:p>
    <w:tbl>
      <w:tblPr>
        <w:tblStyle w:val="TableGrid"/>
        <w:tblW w:w="0" w:type="auto"/>
        <w:tblLook w:val="04A0" w:firstRow="1" w:lastRow="0" w:firstColumn="1" w:lastColumn="0" w:noHBand="0" w:noVBand="1"/>
      </w:tblPr>
      <w:tblGrid>
        <w:gridCol w:w="1271"/>
        <w:gridCol w:w="8215"/>
      </w:tblGrid>
      <w:tr w:rsidR="00D22747" w14:paraId="67DD532C" w14:textId="77777777" w:rsidTr="00D22747">
        <w:tc>
          <w:tcPr>
            <w:tcW w:w="1271" w:type="dxa"/>
          </w:tcPr>
          <w:p w14:paraId="0FFF726A" w14:textId="4F6D34D3" w:rsidR="00D22747" w:rsidRDefault="00D22747" w:rsidP="00D22747">
            <w:pPr>
              <w:pStyle w:val="NormalWeb"/>
              <w:spacing w:line="300" w:lineRule="atLeast"/>
              <w:jc w:val="center"/>
              <w:rPr>
                <w:rFonts w:ascii="Arial" w:hAnsi="Arial" w:cs="Arial"/>
              </w:rPr>
            </w:pPr>
            <w:r>
              <w:rPr>
                <w:rFonts w:ascii="Arial" w:hAnsi="Arial" w:cs="Arial"/>
              </w:rPr>
              <w:t>Term</w:t>
            </w:r>
          </w:p>
        </w:tc>
        <w:tc>
          <w:tcPr>
            <w:tcW w:w="8215" w:type="dxa"/>
          </w:tcPr>
          <w:p w14:paraId="55D502E8" w14:textId="3356F6A9" w:rsidR="00D22747" w:rsidRDefault="00D22747" w:rsidP="00D22747">
            <w:pPr>
              <w:pStyle w:val="NormalWeb"/>
              <w:spacing w:line="300" w:lineRule="atLeast"/>
              <w:jc w:val="center"/>
              <w:rPr>
                <w:rFonts w:ascii="Arial" w:hAnsi="Arial" w:cs="Arial"/>
              </w:rPr>
            </w:pPr>
            <w:r>
              <w:rPr>
                <w:rFonts w:ascii="Arial" w:hAnsi="Arial" w:cs="Arial"/>
              </w:rPr>
              <w:t>Review Activity</w:t>
            </w:r>
          </w:p>
        </w:tc>
      </w:tr>
      <w:tr w:rsidR="00D22747" w14:paraId="06387ED4" w14:textId="77777777" w:rsidTr="00D22747">
        <w:tc>
          <w:tcPr>
            <w:tcW w:w="1271" w:type="dxa"/>
          </w:tcPr>
          <w:p w14:paraId="30CCB778" w14:textId="7B28E5FC" w:rsidR="00D22747" w:rsidRDefault="00D22747" w:rsidP="00D22747">
            <w:pPr>
              <w:pStyle w:val="NormalWeb"/>
              <w:spacing w:line="300" w:lineRule="atLeast"/>
              <w:rPr>
                <w:rFonts w:ascii="Arial" w:hAnsi="Arial" w:cs="Arial"/>
              </w:rPr>
            </w:pPr>
            <w:r>
              <w:rPr>
                <w:rFonts w:ascii="Arial" w:hAnsi="Arial" w:cs="Arial"/>
              </w:rPr>
              <w:t>Autumn</w:t>
            </w:r>
          </w:p>
        </w:tc>
        <w:tc>
          <w:tcPr>
            <w:tcW w:w="8215" w:type="dxa"/>
          </w:tcPr>
          <w:p w14:paraId="38A7536E" w14:textId="6C3EB383" w:rsidR="00D22747" w:rsidRDefault="00D22747" w:rsidP="00D22747">
            <w:pPr>
              <w:pStyle w:val="NormalWeb"/>
              <w:spacing w:line="300" w:lineRule="atLeast"/>
              <w:rPr>
                <w:rFonts w:ascii="Arial" w:hAnsi="Arial" w:cs="Arial"/>
              </w:rPr>
            </w:pPr>
            <w:r>
              <w:rPr>
                <w:rFonts w:ascii="Arial" w:hAnsi="Arial" w:cs="Arial"/>
              </w:rPr>
              <w:t>Review baseline data, attendance, phonics outcomes, attainment and barriers to learning. Confirm spending and intervention groups.</w:t>
            </w:r>
          </w:p>
        </w:tc>
      </w:tr>
      <w:tr w:rsidR="00D22747" w14:paraId="68CB4914" w14:textId="77777777" w:rsidTr="00D22747">
        <w:tc>
          <w:tcPr>
            <w:tcW w:w="1271" w:type="dxa"/>
          </w:tcPr>
          <w:p w14:paraId="406632A7" w14:textId="05CCAAF4" w:rsidR="00D22747" w:rsidRDefault="00D22747" w:rsidP="00D22747">
            <w:pPr>
              <w:pStyle w:val="NormalWeb"/>
              <w:spacing w:line="300" w:lineRule="atLeast"/>
              <w:rPr>
                <w:rFonts w:ascii="Arial" w:hAnsi="Arial" w:cs="Arial"/>
              </w:rPr>
            </w:pPr>
            <w:r>
              <w:rPr>
                <w:rFonts w:ascii="Arial" w:hAnsi="Arial" w:cs="Arial"/>
              </w:rPr>
              <w:t>Spring</w:t>
            </w:r>
          </w:p>
        </w:tc>
        <w:tc>
          <w:tcPr>
            <w:tcW w:w="8215" w:type="dxa"/>
          </w:tcPr>
          <w:p w14:paraId="2BB20DE1" w14:textId="18FCBAC1" w:rsidR="00D22747" w:rsidRDefault="00D22747" w:rsidP="00D22747">
            <w:pPr>
              <w:pStyle w:val="NormalWeb"/>
              <w:spacing w:line="300" w:lineRule="atLeast"/>
              <w:rPr>
                <w:rFonts w:ascii="Arial" w:hAnsi="Arial" w:cs="Arial"/>
              </w:rPr>
            </w:pPr>
            <w:r>
              <w:rPr>
                <w:rFonts w:ascii="Arial" w:hAnsi="Arial" w:cs="Arial"/>
              </w:rPr>
              <w:t xml:space="preserve">Evaluate progress towards intended outcomes, review intervention impact and participation in wider opportunities, and adjust provision where needed. </w:t>
            </w:r>
          </w:p>
        </w:tc>
      </w:tr>
      <w:tr w:rsidR="00D22747" w14:paraId="5A6F0C6F" w14:textId="77777777" w:rsidTr="00D22747">
        <w:tc>
          <w:tcPr>
            <w:tcW w:w="1271" w:type="dxa"/>
          </w:tcPr>
          <w:p w14:paraId="59BF6406" w14:textId="3B69DABF" w:rsidR="00D22747" w:rsidRDefault="00D22747" w:rsidP="00D22747">
            <w:pPr>
              <w:pStyle w:val="NormalWeb"/>
              <w:spacing w:line="300" w:lineRule="atLeast"/>
              <w:rPr>
                <w:rFonts w:ascii="Arial" w:hAnsi="Arial" w:cs="Arial"/>
              </w:rPr>
            </w:pPr>
            <w:r>
              <w:rPr>
                <w:rFonts w:ascii="Arial" w:hAnsi="Arial" w:cs="Arial"/>
              </w:rPr>
              <w:t>Summer</w:t>
            </w:r>
          </w:p>
        </w:tc>
        <w:tc>
          <w:tcPr>
            <w:tcW w:w="8215" w:type="dxa"/>
          </w:tcPr>
          <w:p w14:paraId="1E6D1944" w14:textId="4A99ACA3" w:rsidR="00D22747" w:rsidRDefault="00D22747" w:rsidP="00D22747">
            <w:pPr>
              <w:pStyle w:val="NormalWeb"/>
              <w:spacing w:line="300" w:lineRule="atLeast"/>
              <w:rPr>
                <w:rFonts w:ascii="Arial" w:hAnsi="Arial" w:cs="Arial"/>
              </w:rPr>
            </w:pPr>
            <w:r>
              <w:rPr>
                <w:rFonts w:ascii="Arial" w:hAnsi="Arial" w:cs="Arial"/>
              </w:rPr>
              <w:t xml:space="preserve">Evaluate overall impact of spending, review attainment and attendance outcomes, identify priorities for the following year and complete the annual pupil premium review. </w:t>
            </w:r>
          </w:p>
        </w:tc>
      </w:tr>
    </w:tbl>
    <w:p w14:paraId="002E17DF" w14:textId="77777777" w:rsidR="00D22747" w:rsidRPr="00AB1D5A" w:rsidRDefault="00D22747" w:rsidP="3AA5B316">
      <w:pPr>
        <w:rPr>
          <w:i/>
          <w:iCs/>
          <w:color w:val="104F75"/>
          <w:sz w:val="28"/>
          <w:szCs w:val="28"/>
        </w:rPr>
      </w:pPr>
    </w:p>
    <w:p w14:paraId="2A7D5542" w14:textId="77777777" w:rsidR="00E66558" w:rsidRDefault="009D71E8">
      <w:pPr>
        <w:pStyle w:val="Heading1"/>
      </w:pPr>
      <w:r>
        <w:lastRenderedPageBreak/>
        <w:t>Part B: Review of outcomes in the previous academic year</w:t>
      </w:r>
    </w:p>
    <w:p w14:paraId="2A7D5543" w14:textId="77777777" w:rsidR="00E66558" w:rsidRDefault="009D71E8">
      <w:pPr>
        <w:pStyle w:val="Heading2"/>
      </w:pPr>
      <w:r>
        <w:t>Pupil premium strategy outcomes</w:t>
      </w:r>
    </w:p>
    <w:p w14:paraId="2A7D5544" w14:textId="0049EA41" w:rsidR="00E66558" w:rsidRPr="0082076C" w:rsidRDefault="009D71E8" w:rsidP="3AA5B316">
      <w:r w:rsidRPr="0082076C">
        <w:t>This details the impact that our pupil premium activity had on pupils in the 202</w:t>
      </w:r>
      <w:r w:rsidR="004226B1">
        <w:t>5</w:t>
      </w:r>
      <w:r w:rsidRPr="0082076C">
        <w:t xml:space="preserve"> to 202</w:t>
      </w:r>
      <w:r w:rsidR="004226B1">
        <w:t>6</w:t>
      </w:r>
      <w:r w:rsidRPr="0082076C">
        <w:t xml:space="preserve"> academic year. </w:t>
      </w:r>
    </w:p>
    <w:tbl>
      <w:tblPr>
        <w:tblW w:w="9493" w:type="dxa"/>
        <w:tblCellMar>
          <w:left w:w="10" w:type="dxa"/>
          <w:right w:w="10" w:type="dxa"/>
        </w:tblCellMar>
        <w:tblLook w:val="04A0" w:firstRow="1" w:lastRow="0" w:firstColumn="1" w:lastColumn="0" w:noHBand="0" w:noVBand="1"/>
      </w:tblPr>
      <w:tblGrid>
        <w:gridCol w:w="9493"/>
      </w:tblGrid>
      <w:tr w:rsidR="00E66558" w14:paraId="2A7D5547" w14:textId="77777777">
        <w:trPr>
          <w:trHeight w:val="1102"/>
        </w:trPr>
        <w:tc>
          <w:tcPr>
            <w:tcW w:w="94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6B7B59" w14:textId="77777777" w:rsidR="002174DB" w:rsidRPr="0027465A" w:rsidRDefault="002174DB" w:rsidP="002174DB">
            <w:pPr>
              <w:spacing w:before="100" w:beforeAutospacing="1" w:after="100" w:afterAutospacing="1" w:line="300" w:lineRule="atLeast"/>
              <w:rPr>
                <w:rFonts w:cs="Arial"/>
              </w:rPr>
            </w:pPr>
            <w:r w:rsidRPr="0027465A">
              <w:rPr>
                <w:rFonts w:cs="Arial"/>
              </w:rPr>
              <w:t>Our pupil premium strategy had a positive impact on many disadvantaged pupils through a combination of high-quality teaching, targeted academic support and wider pastoral provision.</w:t>
            </w:r>
          </w:p>
          <w:p w14:paraId="0EB293DE" w14:textId="38E9599D" w:rsidR="00233EC8" w:rsidRDefault="00233EC8" w:rsidP="00233EC8">
            <w:pPr>
              <w:suppressAutoHyphens w:val="0"/>
              <w:autoSpaceDN/>
              <w:spacing w:after="0" w:line="300" w:lineRule="atLeast"/>
              <w:rPr>
                <w:rFonts w:cs="Arial"/>
                <w:color w:val="auto"/>
              </w:rPr>
            </w:pPr>
            <w:r w:rsidRPr="00233EC8">
              <w:rPr>
                <w:rFonts w:cs="Arial"/>
                <w:color w:val="auto"/>
              </w:rPr>
              <w:t xml:space="preserve">Communication and language remained a strength for disadvantaged pupils. By the end of EYFS, </w:t>
            </w:r>
            <w:r w:rsidRPr="00233EC8">
              <w:rPr>
                <w:rFonts w:cs="Arial"/>
                <w:bCs/>
                <w:color w:val="auto"/>
              </w:rPr>
              <w:t>85.4% of disadvantaged pupils achieved age-related expectations in Communication and Language</w:t>
            </w:r>
            <w:r w:rsidRPr="00233EC8">
              <w:rPr>
                <w:rFonts w:cs="Arial"/>
                <w:color w:val="auto"/>
              </w:rPr>
              <w:t>. Targeted support through Talk Boost, vocabulary development and oracy activities contributed positively to pupils' speaking and listening skills. Monitoring, pupil voice and classroom observations showed increased confidence in communication and participation in learning. Continued focus on explicit vocabulary instruction and oracy will ensure these improvements are sustained across the curriculum</w:t>
            </w:r>
          </w:p>
          <w:p w14:paraId="6B1FA397" w14:textId="77777777" w:rsidR="00233EC8" w:rsidRPr="00233EC8" w:rsidRDefault="00233EC8" w:rsidP="00233EC8">
            <w:pPr>
              <w:suppressAutoHyphens w:val="0"/>
              <w:autoSpaceDN/>
              <w:spacing w:after="0" w:line="300" w:lineRule="atLeast"/>
              <w:rPr>
                <w:rFonts w:cs="Arial"/>
                <w:color w:val="auto"/>
              </w:rPr>
            </w:pPr>
          </w:p>
          <w:p w14:paraId="5A6E78F3" w14:textId="5DD3838E" w:rsidR="00233EC8" w:rsidRDefault="002174DB" w:rsidP="00233EC8">
            <w:pPr>
              <w:suppressAutoHyphens w:val="0"/>
              <w:spacing w:after="0" w:line="300" w:lineRule="atLeast"/>
              <w:rPr>
                <w:rFonts w:cs="Arial"/>
                <w:color w:val="auto"/>
              </w:rPr>
            </w:pPr>
            <w:r w:rsidRPr="0027465A">
              <w:rPr>
                <w:rFonts w:cs="Arial"/>
              </w:rPr>
              <w:t>Attendance remained a key priority. Whole-school attendance was 94.5%, in line with national figures. Attendance for disadvantaged pupils improved slightly compared with previous years, although attendance and persistent absence for this group remain areas for continued focus.</w:t>
            </w:r>
            <w:r w:rsidR="00233EC8">
              <w:rPr>
                <w:rFonts w:ascii="Segoe UI" w:hAnsi="Segoe UI" w:cs="Segoe UI"/>
                <w:sz w:val="21"/>
                <w:szCs w:val="21"/>
              </w:rPr>
              <w:t xml:space="preserve"> </w:t>
            </w:r>
            <w:r w:rsidR="00233EC8" w:rsidRPr="00233EC8">
              <w:rPr>
                <w:rFonts w:cs="Arial"/>
                <w:color w:val="auto"/>
              </w:rPr>
              <w:t>Attendance of disadvantaged pupils improved from 91.8% to 93.4%; however, it remained below the school target of 94%. Persistent absence reduced from 24% to 18%, demonstrating the positive impact of attendance panels and family support. Reducing persistent absence remains a priority for 2027-28</w:t>
            </w:r>
            <w:r w:rsidR="00233EC8">
              <w:rPr>
                <w:rFonts w:cs="Arial"/>
                <w:color w:val="auto"/>
              </w:rPr>
              <w:t>.</w:t>
            </w:r>
          </w:p>
          <w:p w14:paraId="166AD281" w14:textId="77777777" w:rsidR="00233EC8" w:rsidRPr="00233EC8" w:rsidRDefault="00233EC8" w:rsidP="00233EC8">
            <w:pPr>
              <w:suppressAutoHyphens w:val="0"/>
              <w:spacing w:after="0" w:line="300" w:lineRule="atLeast"/>
              <w:rPr>
                <w:rFonts w:ascii="Segoe UI" w:hAnsi="Segoe UI" w:cs="Segoe UI"/>
                <w:color w:val="auto"/>
                <w:sz w:val="21"/>
                <w:szCs w:val="21"/>
              </w:rPr>
            </w:pPr>
          </w:p>
          <w:p w14:paraId="0E31F390" w14:textId="77777777" w:rsidR="00233EC8" w:rsidRPr="00233EC8" w:rsidRDefault="00233EC8" w:rsidP="00233EC8">
            <w:pPr>
              <w:suppressAutoHyphens w:val="0"/>
              <w:autoSpaceDN/>
              <w:spacing w:after="0" w:line="300" w:lineRule="atLeast"/>
              <w:rPr>
                <w:rFonts w:cs="Arial"/>
                <w:color w:val="auto"/>
              </w:rPr>
            </w:pPr>
            <w:r w:rsidRPr="00233EC8">
              <w:rPr>
                <w:rFonts w:cs="Arial"/>
                <w:color w:val="auto"/>
              </w:rPr>
              <w:t>Disadvantaged pupils benefited from a wide range of enrichment opportunities, including educational visits, sporting events, clubs and wider curriculum experiences. Financial support ensured that pupils were able to participate fully regardless of circumstance. Participation rates were particularly strong from Year 4 onwards, with increasing engagement in extra-curricular activities, competitions and enrichment experiences. These opportunities contributed positively to pupils' confidence, engagement and personal development. Increasing participation within EYFS and Key Stage 1 will form the next stage of development.</w:t>
            </w:r>
          </w:p>
          <w:p w14:paraId="069A8DEB" w14:textId="77777777" w:rsidR="00233EC8" w:rsidRPr="00233EC8" w:rsidRDefault="00233EC8" w:rsidP="00233EC8">
            <w:pPr>
              <w:suppressAutoHyphens w:val="0"/>
              <w:autoSpaceDN/>
              <w:spacing w:before="100" w:beforeAutospacing="1" w:after="100" w:afterAutospacing="1" w:line="300" w:lineRule="atLeast"/>
              <w:rPr>
                <w:rFonts w:cs="Arial"/>
                <w:color w:val="auto"/>
              </w:rPr>
            </w:pPr>
            <w:r w:rsidRPr="00233EC8">
              <w:rPr>
                <w:rFonts w:cs="Arial"/>
                <w:color w:val="auto"/>
              </w:rPr>
              <w:t xml:space="preserve">Academic outcomes for disadvantaged pupils were strongest in Key Stage 2. At the end of KS2, disadvantaged pupils achieved </w:t>
            </w:r>
            <w:r w:rsidRPr="00233EC8">
              <w:rPr>
                <w:rFonts w:cs="Arial"/>
                <w:bCs/>
                <w:color w:val="auto"/>
              </w:rPr>
              <w:t xml:space="preserve">76.5% in reading, 94.1% in writing, 82.4% in mathematics and 77% in </w:t>
            </w:r>
            <w:proofErr w:type="spellStart"/>
            <w:r w:rsidRPr="00233EC8">
              <w:rPr>
                <w:rFonts w:cs="Arial"/>
                <w:bCs/>
                <w:color w:val="auto"/>
              </w:rPr>
              <w:t>SPaG</w:t>
            </w:r>
            <w:proofErr w:type="spellEnd"/>
            <w:r w:rsidRPr="00233EC8">
              <w:rPr>
                <w:rFonts w:cs="Arial"/>
                <w:color w:val="auto"/>
              </w:rPr>
              <w:t xml:space="preserve">, representing improvements compared with 2024-25, when outcomes were </w:t>
            </w:r>
            <w:r w:rsidRPr="00233EC8">
              <w:rPr>
                <w:rFonts w:cs="Arial"/>
                <w:bCs/>
                <w:color w:val="auto"/>
              </w:rPr>
              <w:t xml:space="preserve">60% in reading, 65% in writing, 55% in mathematics and 65% in </w:t>
            </w:r>
            <w:proofErr w:type="spellStart"/>
            <w:r w:rsidRPr="00233EC8">
              <w:rPr>
                <w:rFonts w:cs="Arial"/>
                <w:bCs/>
                <w:color w:val="auto"/>
              </w:rPr>
              <w:t>SPaG</w:t>
            </w:r>
            <w:proofErr w:type="spellEnd"/>
            <w:r w:rsidRPr="00233EC8">
              <w:rPr>
                <w:rFonts w:cs="Arial"/>
                <w:color w:val="auto"/>
              </w:rPr>
              <w:t>. Writing outcomes were a particular strength and reflected the impact of high-quality teaching and targeted support.</w:t>
            </w:r>
          </w:p>
          <w:p w14:paraId="724325FB" w14:textId="77777777" w:rsidR="00233EC8" w:rsidRPr="00233EC8" w:rsidRDefault="00233EC8" w:rsidP="00233EC8">
            <w:pPr>
              <w:suppressAutoHyphens w:val="0"/>
              <w:autoSpaceDN/>
              <w:spacing w:before="100" w:beforeAutospacing="1" w:after="100" w:afterAutospacing="1" w:line="300" w:lineRule="atLeast"/>
              <w:rPr>
                <w:rFonts w:cs="Arial"/>
                <w:color w:val="auto"/>
              </w:rPr>
            </w:pPr>
            <w:r w:rsidRPr="00233EC8">
              <w:rPr>
                <w:rFonts w:cs="Arial"/>
                <w:color w:val="auto"/>
              </w:rPr>
              <w:lastRenderedPageBreak/>
              <w:t xml:space="preserve">In contrast, Key Stage 1 outcomes remained below school expectations. At the end of KS1, </w:t>
            </w:r>
            <w:r w:rsidRPr="00233EC8">
              <w:rPr>
                <w:rFonts w:cs="Arial"/>
                <w:bCs/>
                <w:color w:val="auto"/>
              </w:rPr>
              <w:t>30% of disadvantaged pupils achieved age-related expectations in reading, writing and mathematics</w:t>
            </w:r>
            <w:r w:rsidRPr="00233EC8">
              <w:rPr>
                <w:rFonts w:cs="Arial"/>
                <w:color w:val="auto"/>
              </w:rPr>
              <w:t xml:space="preserve">. This cohort included a high proportion of pupils with SEND, with </w:t>
            </w:r>
            <w:r w:rsidRPr="00233EC8">
              <w:rPr>
                <w:rFonts w:cs="Arial"/>
                <w:bCs/>
                <w:color w:val="auto"/>
              </w:rPr>
              <w:t>7 of the 9 disadvantaged pupils also identified as having SEND</w:t>
            </w:r>
            <w:r w:rsidRPr="00233EC8">
              <w:rPr>
                <w:rFonts w:cs="Arial"/>
                <w:color w:val="auto"/>
              </w:rPr>
              <w:t>. While additional interventions were introduced during the year, gaps remained. Raising attainment in Key Stage 1 therefore continues to be a major priority moving forward</w:t>
            </w:r>
          </w:p>
          <w:p w14:paraId="2A3BF024" w14:textId="1B59DBEB" w:rsidR="00233EC8" w:rsidRDefault="00233EC8" w:rsidP="00233EC8">
            <w:pPr>
              <w:suppressAutoHyphens w:val="0"/>
              <w:autoSpaceDN/>
              <w:spacing w:after="0" w:line="300" w:lineRule="atLeast"/>
              <w:rPr>
                <w:rFonts w:cs="Arial"/>
                <w:color w:val="auto"/>
              </w:rPr>
            </w:pPr>
            <w:r w:rsidRPr="00233EC8">
              <w:rPr>
                <w:rFonts w:cs="Arial"/>
                <w:color w:val="auto"/>
              </w:rPr>
              <w:t xml:space="preserve">Whole-school phonics outcomes improved from </w:t>
            </w:r>
            <w:r w:rsidRPr="00233EC8">
              <w:rPr>
                <w:rFonts w:cs="Arial"/>
                <w:bCs/>
                <w:color w:val="auto"/>
              </w:rPr>
              <w:t>64.9% to 72.9%</w:t>
            </w:r>
            <w:r w:rsidRPr="00233EC8">
              <w:rPr>
                <w:rFonts w:cs="Arial"/>
                <w:color w:val="auto"/>
              </w:rPr>
              <w:t xml:space="preserve">, demonstrating the positive impact of strengthened phonics provision and intervention. Despite this improvement, only </w:t>
            </w:r>
            <w:r w:rsidRPr="00233EC8">
              <w:rPr>
                <w:rFonts w:cs="Arial"/>
                <w:bCs/>
                <w:color w:val="auto"/>
              </w:rPr>
              <w:t>50% of disadvantaged pupils achieved the expected standard in the Year 1 Phonics Screening Check</w:t>
            </w:r>
            <w:r w:rsidRPr="00233EC8">
              <w:rPr>
                <w:rFonts w:cs="Arial"/>
                <w:color w:val="auto"/>
              </w:rPr>
              <w:t xml:space="preserve">, compared with </w:t>
            </w:r>
            <w:r w:rsidRPr="00233EC8">
              <w:rPr>
                <w:rFonts w:cs="Arial"/>
                <w:bCs/>
                <w:color w:val="auto"/>
              </w:rPr>
              <w:t>77.5% of non-disadvantaged pupils</w:t>
            </w:r>
            <w:r w:rsidRPr="00233EC8">
              <w:rPr>
                <w:rFonts w:cs="Arial"/>
                <w:color w:val="auto"/>
              </w:rPr>
              <w:t>, indicating that a significant attainment gap remains. Targeted phonics intervention supported individual pupils to make progress, but improving phonics attainment and narrowing the gap for disadvantaged pupils remains a key focus for the current strategy.</w:t>
            </w:r>
          </w:p>
          <w:p w14:paraId="615674FA" w14:textId="77777777" w:rsidR="00233EC8" w:rsidRPr="00233EC8" w:rsidRDefault="00233EC8" w:rsidP="00233EC8">
            <w:pPr>
              <w:suppressAutoHyphens w:val="0"/>
              <w:autoSpaceDN/>
              <w:spacing w:after="0" w:line="300" w:lineRule="atLeast"/>
              <w:rPr>
                <w:rFonts w:cs="Arial"/>
                <w:color w:val="auto"/>
              </w:rPr>
            </w:pPr>
          </w:p>
          <w:p w14:paraId="4B65CC42" w14:textId="5AC83EF0" w:rsidR="00233EC8" w:rsidRDefault="00233EC8" w:rsidP="00233EC8">
            <w:pPr>
              <w:suppressAutoHyphens w:val="0"/>
              <w:autoSpaceDN/>
              <w:spacing w:after="0" w:line="300" w:lineRule="atLeast"/>
              <w:rPr>
                <w:rFonts w:cs="Arial"/>
                <w:color w:val="auto"/>
              </w:rPr>
            </w:pPr>
            <w:r w:rsidRPr="00233EC8">
              <w:rPr>
                <w:rFonts w:cs="Arial"/>
                <w:color w:val="auto"/>
              </w:rPr>
              <w:t>A significant proportion of disadvantaged pupils also presented with SEND and additional vulnerabilities. Targeted interventions, adaptive teaching approaches, pastoral support and external agency involvement helped many pupils make progress from their individual starting points. The Family Support Worker played a significant role in supporting attendance, wellbeing, family engagement and access to external services. While many pupils made positive progress academically, socially and emotionally, the attainment outcomes of disadvantaged pupils with SEND continue to indicate that this group requires sustained and highly personalised support. This remains an important priority within the current strategy.</w:t>
            </w:r>
          </w:p>
          <w:p w14:paraId="4F23730D" w14:textId="1E0188D9" w:rsidR="00233EC8" w:rsidRDefault="00233EC8" w:rsidP="00233EC8">
            <w:pPr>
              <w:suppressAutoHyphens w:val="0"/>
              <w:autoSpaceDN/>
              <w:spacing w:after="0" w:line="300" w:lineRule="atLeast"/>
              <w:rPr>
                <w:rFonts w:cs="Arial"/>
                <w:color w:val="auto"/>
              </w:rPr>
            </w:pPr>
          </w:p>
          <w:p w14:paraId="4FE9AA01" w14:textId="522BC905" w:rsidR="00233EC8" w:rsidRPr="00233EC8" w:rsidRDefault="00233EC8" w:rsidP="00233EC8">
            <w:pPr>
              <w:suppressAutoHyphens w:val="0"/>
              <w:autoSpaceDN/>
              <w:spacing w:after="0" w:line="300" w:lineRule="atLeast"/>
              <w:rPr>
                <w:rFonts w:cs="Arial"/>
                <w:color w:val="auto"/>
              </w:rPr>
            </w:pPr>
            <w:r w:rsidRPr="00233EC8">
              <w:rPr>
                <w:rFonts w:cs="Arial"/>
                <w:color w:val="auto"/>
              </w:rPr>
              <w:t xml:space="preserve">Overall, the school's pupil premium strategy had a positive impact during 2025-26. The strongest outcomes were seen in Communication and Language in EYFS, writing and attainment at KS2, and access to enrichment opportunities. </w:t>
            </w:r>
          </w:p>
          <w:p w14:paraId="748B18AD" w14:textId="77777777" w:rsidR="002174DB" w:rsidRPr="0027465A" w:rsidRDefault="002174DB" w:rsidP="002174DB">
            <w:pPr>
              <w:spacing w:before="100" w:beforeAutospacing="1" w:after="100" w:afterAutospacing="1" w:line="300" w:lineRule="atLeast"/>
              <w:rPr>
                <w:rFonts w:cs="Arial"/>
              </w:rPr>
            </w:pPr>
            <w:r w:rsidRPr="0027465A">
              <w:rPr>
                <w:rFonts w:cs="Arial"/>
              </w:rPr>
              <w:t>Based on these outcomes, the school will continue to prioritise:</w:t>
            </w:r>
          </w:p>
          <w:p w14:paraId="173E9DC9" w14:textId="77777777" w:rsidR="002174DB" w:rsidRPr="0027465A" w:rsidRDefault="002174DB" w:rsidP="002174DB">
            <w:pPr>
              <w:numPr>
                <w:ilvl w:val="0"/>
                <w:numId w:val="19"/>
              </w:numPr>
              <w:suppressAutoHyphens w:val="0"/>
              <w:autoSpaceDN/>
              <w:spacing w:before="100" w:beforeAutospacing="1" w:after="100" w:afterAutospacing="1" w:line="300" w:lineRule="atLeast"/>
              <w:rPr>
                <w:rFonts w:cs="Arial"/>
              </w:rPr>
            </w:pPr>
            <w:r w:rsidRPr="0027465A">
              <w:rPr>
                <w:rFonts w:cs="Arial"/>
              </w:rPr>
              <w:t>improving attendance and reducing persistent absence among disadvantaged pupils;</w:t>
            </w:r>
          </w:p>
          <w:p w14:paraId="5837E216" w14:textId="77777777" w:rsidR="002174DB" w:rsidRPr="0027465A" w:rsidRDefault="002174DB" w:rsidP="002174DB">
            <w:pPr>
              <w:numPr>
                <w:ilvl w:val="0"/>
                <w:numId w:val="19"/>
              </w:numPr>
              <w:suppressAutoHyphens w:val="0"/>
              <w:autoSpaceDN/>
              <w:spacing w:before="100" w:beforeAutospacing="1" w:after="100" w:afterAutospacing="1" w:line="300" w:lineRule="atLeast"/>
              <w:rPr>
                <w:rFonts w:cs="Arial"/>
              </w:rPr>
            </w:pPr>
            <w:r w:rsidRPr="0027465A">
              <w:rPr>
                <w:rFonts w:cs="Arial"/>
              </w:rPr>
              <w:t>improving phonics and early reading outcomes;</w:t>
            </w:r>
          </w:p>
          <w:p w14:paraId="72E95D6D" w14:textId="77777777" w:rsidR="002174DB" w:rsidRPr="0027465A" w:rsidRDefault="002174DB" w:rsidP="002174DB">
            <w:pPr>
              <w:numPr>
                <w:ilvl w:val="0"/>
                <w:numId w:val="19"/>
              </w:numPr>
              <w:suppressAutoHyphens w:val="0"/>
              <w:autoSpaceDN/>
              <w:spacing w:before="100" w:beforeAutospacing="1" w:after="100" w:afterAutospacing="1" w:line="300" w:lineRule="atLeast"/>
              <w:rPr>
                <w:rFonts w:cs="Arial"/>
              </w:rPr>
            </w:pPr>
            <w:r w:rsidRPr="0027465A">
              <w:rPr>
                <w:rFonts w:cs="Arial"/>
              </w:rPr>
              <w:t>raising attainment in Key Stage 1;</w:t>
            </w:r>
          </w:p>
          <w:p w14:paraId="7DB20CF7" w14:textId="77777777" w:rsidR="002174DB" w:rsidRPr="0027465A" w:rsidRDefault="002174DB" w:rsidP="002174DB">
            <w:pPr>
              <w:numPr>
                <w:ilvl w:val="0"/>
                <w:numId w:val="19"/>
              </w:numPr>
              <w:suppressAutoHyphens w:val="0"/>
              <w:autoSpaceDN/>
              <w:spacing w:before="100" w:beforeAutospacing="1" w:after="100" w:afterAutospacing="1" w:line="300" w:lineRule="atLeast"/>
              <w:rPr>
                <w:rFonts w:cs="Arial"/>
              </w:rPr>
            </w:pPr>
            <w:r w:rsidRPr="0027465A">
              <w:rPr>
                <w:rFonts w:cs="Arial"/>
              </w:rPr>
              <w:t>supporting disadvantaged pupils with SEND;</w:t>
            </w:r>
          </w:p>
          <w:p w14:paraId="32A84F00" w14:textId="77777777" w:rsidR="002174DB" w:rsidRPr="0027465A" w:rsidRDefault="002174DB" w:rsidP="002174DB">
            <w:pPr>
              <w:numPr>
                <w:ilvl w:val="0"/>
                <w:numId w:val="19"/>
              </w:numPr>
              <w:suppressAutoHyphens w:val="0"/>
              <w:autoSpaceDN/>
              <w:spacing w:before="100" w:beforeAutospacing="1" w:after="100" w:afterAutospacing="1" w:line="300" w:lineRule="atLeast"/>
              <w:rPr>
                <w:rFonts w:cs="Arial"/>
              </w:rPr>
            </w:pPr>
            <w:r w:rsidRPr="0027465A">
              <w:rPr>
                <w:rFonts w:cs="Arial"/>
              </w:rPr>
              <w:t>developing vocabulary, oracy and language acquisition;</w:t>
            </w:r>
          </w:p>
          <w:p w14:paraId="2A7D5546" w14:textId="097EEB05" w:rsidR="00F85F3A" w:rsidRPr="002174DB" w:rsidRDefault="002174DB" w:rsidP="002174DB">
            <w:pPr>
              <w:numPr>
                <w:ilvl w:val="0"/>
                <w:numId w:val="19"/>
              </w:numPr>
              <w:suppressAutoHyphens w:val="0"/>
              <w:autoSpaceDN/>
              <w:spacing w:before="100" w:beforeAutospacing="1" w:after="100" w:afterAutospacing="1" w:line="300" w:lineRule="atLeast"/>
              <w:rPr>
                <w:rFonts w:ascii="Segoe UI" w:hAnsi="Segoe UI" w:cs="Segoe UI"/>
                <w:sz w:val="21"/>
                <w:szCs w:val="21"/>
              </w:rPr>
            </w:pPr>
            <w:r w:rsidRPr="0027465A">
              <w:rPr>
                <w:rFonts w:cs="Arial"/>
              </w:rPr>
              <w:t>maintaining access to enrichment opportunities</w:t>
            </w:r>
            <w:r w:rsidR="006E137C">
              <w:rPr>
                <w:rFonts w:cs="Arial"/>
              </w:rPr>
              <w:t xml:space="preserve"> especially in KS1 and EYFS</w:t>
            </w:r>
            <w:r w:rsidRPr="0027465A">
              <w:rPr>
                <w:rFonts w:cs="Arial"/>
              </w:rPr>
              <w:t xml:space="preserve"> and family support.</w:t>
            </w:r>
          </w:p>
        </w:tc>
      </w:tr>
    </w:tbl>
    <w:p w14:paraId="168ABFF2" w14:textId="77777777" w:rsidR="00233EC8" w:rsidRDefault="00233EC8">
      <w:pPr>
        <w:pStyle w:val="Heading2"/>
        <w:spacing w:before="600"/>
      </w:pPr>
    </w:p>
    <w:p w14:paraId="2A7D5548" w14:textId="43A7C704" w:rsidR="00E66558" w:rsidRDefault="009D71E8">
      <w:pPr>
        <w:pStyle w:val="Heading2"/>
        <w:spacing w:before="600"/>
      </w:pPr>
      <w:r>
        <w:t>Externally provided programmes</w:t>
      </w:r>
    </w:p>
    <w:p w14:paraId="2A7D5549" w14:textId="77777777" w:rsidR="00E66558" w:rsidRDefault="009D71E8">
      <w:pPr>
        <w:rPr>
          <w:i/>
          <w:iCs/>
        </w:rPr>
      </w:pPr>
      <w:r>
        <w:rPr>
          <w:i/>
          <w:iCs/>
        </w:rPr>
        <w:t>Please include the names of any non-DfE programmes that you purchased in the previous academic year. This will help the Department for Education identify which ones are popular in England</w:t>
      </w:r>
    </w:p>
    <w:tbl>
      <w:tblPr>
        <w:tblW w:w="5000" w:type="pct"/>
        <w:tblCellMar>
          <w:left w:w="10" w:type="dxa"/>
          <w:right w:w="10" w:type="dxa"/>
        </w:tblCellMar>
        <w:tblLook w:val="04A0" w:firstRow="1" w:lastRow="0" w:firstColumn="1" w:lastColumn="0" w:noHBand="0" w:noVBand="1"/>
      </w:tblPr>
      <w:tblGrid>
        <w:gridCol w:w="4815"/>
        <w:gridCol w:w="4671"/>
      </w:tblGrid>
      <w:tr w:rsidR="00E66558" w14:paraId="2A7D554C" w14:textId="77777777" w:rsidTr="0DC9507B">
        <w:tc>
          <w:tcPr>
            <w:tcW w:w="48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tcPr>
          <w:p w14:paraId="2A7D554A" w14:textId="77777777" w:rsidR="00E66558" w:rsidRDefault="009D71E8">
            <w:pPr>
              <w:pStyle w:val="TableHeader"/>
              <w:jc w:val="left"/>
            </w:pPr>
            <w:r>
              <w:t>Programme</w:t>
            </w:r>
          </w:p>
        </w:tc>
        <w:tc>
          <w:tcPr>
            <w:tcW w:w="46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tcPr>
          <w:p w14:paraId="2A7D554B" w14:textId="77777777" w:rsidR="00E66558" w:rsidRDefault="009D71E8">
            <w:pPr>
              <w:pStyle w:val="TableHeader"/>
              <w:jc w:val="left"/>
            </w:pPr>
            <w:r>
              <w:t>Provider</w:t>
            </w:r>
          </w:p>
        </w:tc>
      </w:tr>
      <w:tr w:rsidR="00E66558" w14:paraId="2A7D554F" w14:textId="77777777" w:rsidTr="0DC9507B">
        <w:tc>
          <w:tcPr>
            <w:tcW w:w="48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54D" w14:textId="5FB3D434" w:rsidR="00E66558" w:rsidRDefault="00B76DF9">
            <w:pPr>
              <w:pStyle w:val="TableRow"/>
            </w:pPr>
            <w:r>
              <w:t>Reading Plus</w:t>
            </w:r>
          </w:p>
        </w:tc>
        <w:tc>
          <w:tcPr>
            <w:tcW w:w="467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54E" w14:textId="5D9DAECF" w:rsidR="00E66558" w:rsidRDefault="00B76DF9">
            <w:pPr>
              <w:pStyle w:val="TableRowCentered"/>
              <w:jc w:val="left"/>
            </w:pPr>
            <w:r>
              <w:t>Reading Solutions</w:t>
            </w:r>
          </w:p>
        </w:tc>
      </w:tr>
      <w:tr w:rsidR="00E66558" w14:paraId="2A7D5552" w14:textId="77777777" w:rsidTr="0DC9507B">
        <w:tc>
          <w:tcPr>
            <w:tcW w:w="48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550" w14:textId="156AE96E" w:rsidR="00E66558" w:rsidRDefault="7E3ECE15">
            <w:pPr>
              <w:pStyle w:val="TableRow"/>
            </w:pPr>
            <w:r>
              <w:t>Spelling</w:t>
            </w:r>
            <w:r w:rsidR="7D6F54C0">
              <w:t xml:space="preserve"> and </w:t>
            </w:r>
            <w:r w:rsidR="53904A7E">
              <w:t>Literacy</w:t>
            </w:r>
            <w:r w:rsidR="7D6F54C0">
              <w:t xml:space="preserve"> </w:t>
            </w:r>
            <w:r>
              <w:t>Shed</w:t>
            </w:r>
          </w:p>
        </w:tc>
        <w:tc>
          <w:tcPr>
            <w:tcW w:w="467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551" w14:textId="53C5576B" w:rsidR="00E66558" w:rsidRDefault="1E80C80C">
            <w:pPr>
              <w:pStyle w:val="TableRowCentered"/>
              <w:jc w:val="left"/>
            </w:pPr>
            <w:r>
              <w:t>Ed Shed</w:t>
            </w:r>
          </w:p>
        </w:tc>
      </w:tr>
      <w:tr w:rsidR="00B76DF9" w14:paraId="0890A41F" w14:textId="77777777" w:rsidTr="0DC9507B">
        <w:tc>
          <w:tcPr>
            <w:tcW w:w="48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2E5A27" w14:textId="4557207A" w:rsidR="00B76DF9" w:rsidRDefault="002E37C3">
            <w:pPr>
              <w:pStyle w:val="TableRow"/>
            </w:pPr>
            <w:proofErr w:type="spellStart"/>
            <w:r>
              <w:t>Grammasaurus</w:t>
            </w:r>
            <w:proofErr w:type="spellEnd"/>
          </w:p>
        </w:tc>
        <w:tc>
          <w:tcPr>
            <w:tcW w:w="467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D4559BF" w14:textId="5F44CE5D" w:rsidR="00B76DF9" w:rsidRDefault="002E37C3">
            <w:pPr>
              <w:pStyle w:val="TableRowCentered"/>
              <w:jc w:val="left"/>
            </w:pPr>
            <w:proofErr w:type="spellStart"/>
            <w:r>
              <w:t>Grammasaurus</w:t>
            </w:r>
            <w:proofErr w:type="spellEnd"/>
          </w:p>
        </w:tc>
      </w:tr>
      <w:tr w:rsidR="00024200" w14:paraId="1C608A14" w14:textId="77777777" w:rsidTr="0DC9507B">
        <w:tc>
          <w:tcPr>
            <w:tcW w:w="48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64201FB" w14:textId="3FDF2D80" w:rsidR="00024200" w:rsidRDefault="00024200">
            <w:pPr>
              <w:pStyle w:val="TableRow"/>
            </w:pPr>
            <w:r>
              <w:t>Times Table Rockstars</w:t>
            </w:r>
          </w:p>
        </w:tc>
        <w:tc>
          <w:tcPr>
            <w:tcW w:w="467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52CBC7" w14:textId="758F6BAD" w:rsidR="00024200" w:rsidRDefault="00024200">
            <w:pPr>
              <w:pStyle w:val="TableRowCentered"/>
              <w:jc w:val="left"/>
            </w:pPr>
            <w:r>
              <w:t>Maths Circle</w:t>
            </w:r>
          </w:p>
        </w:tc>
      </w:tr>
      <w:tr w:rsidR="0DC9507B" w14:paraId="2F73E9F2" w14:textId="77777777" w:rsidTr="0DC9507B">
        <w:trPr>
          <w:trHeight w:val="300"/>
        </w:trPr>
        <w:tc>
          <w:tcPr>
            <w:tcW w:w="48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85DAD72" w14:textId="7195EF50" w:rsidR="02081443" w:rsidRDefault="02081443" w:rsidP="0DC9507B">
            <w:pPr>
              <w:pStyle w:val="TableRow"/>
            </w:pPr>
            <w:r>
              <w:t>Classroom Secrets</w:t>
            </w:r>
          </w:p>
        </w:tc>
        <w:tc>
          <w:tcPr>
            <w:tcW w:w="467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5BD27C" w14:textId="5A42FE3D" w:rsidR="5895C3C2" w:rsidRDefault="5895C3C2" w:rsidP="0DC9507B">
            <w:pPr>
              <w:pStyle w:val="TableRowCentered"/>
              <w:jc w:val="left"/>
            </w:pPr>
            <w:r>
              <w:t>Classroom secrets</w:t>
            </w:r>
          </w:p>
        </w:tc>
      </w:tr>
      <w:tr w:rsidR="004A4227" w14:paraId="74B43E2F" w14:textId="77777777" w:rsidTr="0DC9507B">
        <w:trPr>
          <w:trHeight w:val="300"/>
        </w:trPr>
        <w:tc>
          <w:tcPr>
            <w:tcW w:w="48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9FA8C1E" w14:textId="6531961B" w:rsidR="004A4227" w:rsidRDefault="004A4227" w:rsidP="0DC9507B">
            <w:pPr>
              <w:pStyle w:val="TableRow"/>
            </w:pPr>
            <w:r>
              <w:t xml:space="preserve">The Thrive Approach </w:t>
            </w:r>
          </w:p>
        </w:tc>
        <w:tc>
          <w:tcPr>
            <w:tcW w:w="467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BDE2813" w14:textId="343E1435" w:rsidR="004A4227" w:rsidRDefault="004A4227" w:rsidP="0DC9507B">
            <w:pPr>
              <w:pStyle w:val="TableRowCentered"/>
              <w:jc w:val="left"/>
            </w:pPr>
            <w:r>
              <w:t>Frontline Training Solutions Ltd / Thrive</w:t>
            </w:r>
          </w:p>
        </w:tc>
      </w:tr>
      <w:tr w:rsidR="004A4227" w14:paraId="626EF807" w14:textId="77777777" w:rsidTr="0DC9507B">
        <w:trPr>
          <w:trHeight w:val="300"/>
        </w:trPr>
        <w:tc>
          <w:tcPr>
            <w:tcW w:w="48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F63F280" w14:textId="151303C2" w:rsidR="004A4227" w:rsidRDefault="004A4227" w:rsidP="0DC9507B">
            <w:pPr>
              <w:pStyle w:val="TableRow"/>
            </w:pPr>
            <w:r>
              <w:t>Read Write Inc</w:t>
            </w:r>
          </w:p>
        </w:tc>
        <w:tc>
          <w:tcPr>
            <w:tcW w:w="467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85AE779" w14:textId="28576C75" w:rsidR="004A4227" w:rsidRDefault="004A4227" w:rsidP="0DC9507B">
            <w:pPr>
              <w:pStyle w:val="TableRowCentered"/>
              <w:jc w:val="left"/>
            </w:pPr>
            <w:r>
              <w:t>RMT / Ruth Miskin Training</w:t>
            </w:r>
          </w:p>
        </w:tc>
      </w:tr>
      <w:tr w:rsidR="00B150B5" w14:paraId="7EE1261A" w14:textId="77777777" w:rsidTr="0DC9507B">
        <w:trPr>
          <w:trHeight w:val="300"/>
        </w:trPr>
        <w:tc>
          <w:tcPr>
            <w:tcW w:w="48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0898B1B" w14:textId="7E2025F6" w:rsidR="00B150B5" w:rsidRDefault="00B150B5" w:rsidP="0DC9507B">
            <w:pPr>
              <w:pStyle w:val="TableRow"/>
            </w:pPr>
            <w:proofErr w:type="spellStart"/>
            <w:r>
              <w:t>Testbase</w:t>
            </w:r>
            <w:proofErr w:type="spellEnd"/>
            <w:r>
              <w:t xml:space="preserve"> </w:t>
            </w:r>
          </w:p>
        </w:tc>
        <w:tc>
          <w:tcPr>
            <w:tcW w:w="467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7AA6493" w14:textId="68F7C8C1" w:rsidR="00B150B5" w:rsidRDefault="00B150B5" w:rsidP="0DC9507B">
            <w:pPr>
              <w:pStyle w:val="TableRowCentered"/>
              <w:jc w:val="left"/>
            </w:pPr>
            <w:proofErr w:type="spellStart"/>
            <w:r>
              <w:t>Doublestruck</w:t>
            </w:r>
            <w:proofErr w:type="spellEnd"/>
            <w:r>
              <w:t xml:space="preserve"> Ltd</w:t>
            </w:r>
          </w:p>
        </w:tc>
      </w:tr>
      <w:tr w:rsidR="00BA4873" w14:paraId="6F472185" w14:textId="77777777" w:rsidTr="0DC9507B">
        <w:trPr>
          <w:trHeight w:val="300"/>
        </w:trPr>
        <w:tc>
          <w:tcPr>
            <w:tcW w:w="48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8296409" w14:textId="163D6299" w:rsidR="00BA4873" w:rsidRDefault="00BA4873" w:rsidP="0DC9507B">
            <w:pPr>
              <w:pStyle w:val="TableRow"/>
            </w:pPr>
            <w:r>
              <w:t xml:space="preserve">White Rose Maths </w:t>
            </w:r>
          </w:p>
        </w:tc>
        <w:tc>
          <w:tcPr>
            <w:tcW w:w="467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6EF8ED3" w14:textId="31B41115" w:rsidR="00BA4873" w:rsidRDefault="00BA4873" w:rsidP="0DC9507B">
            <w:pPr>
              <w:pStyle w:val="TableRowCentered"/>
              <w:jc w:val="left"/>
            </w:pPr>
            <w:r>
              <w:t xml:space="preserve">White Rose Education </w:t>
            </w:r>
          </w:p>
        </w:tc>
      </w:tr>
    </w:tbl>
    <w:p w14:paraId="2A7D555E" w14:textId="77777777" w:rsidR="00E66558" w:rsidRDefault="00E66558"/>
    <w:p w14:paraId="2A7D555F" w14:textId="77777777" w:rsidR="00E66558" w:rsidRDefault="00E66558">
      <w:pPr>
        <w:spacing w:after="0" w:line="240" w:lineRule="auto"/>
      </w:pPr>
    </w:p>
    <w:bookmarkEnd w:id="14"/>
    <w:bookmarkEnd w:id="15"/>
    <w:bookmarkEnd w:id="16"/>
    <w:p w14:paraId="2A7D5564" w14:textId="0FA80B41" w:rsidR="00E66558" w:rsidRDefault="00E66558"/>
    <w:sectPr w:rsidR="00E66558">
      <w:headerReference w:type="default" r:id="rId10"/>
      <w:footerReference w:type="default" r:id="rId11"/>
      <w:pgSz w:w="11906" w:h="16838"/>
      <w:pgMar w:top="1134" w:right="1276"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65A688" w14:textId="77777777" w:rsidR="00137D33" w:rsidRDefault="00137D33">
      <w:pPr>
        <w:spacing w:after="0" w:line="240" w:lineRule="auto"/>
      </w:pPr>
      <w:r>
        <w:separator/>
      </w:r>
    </w:p>
  </w:endnote>
  <w:endnote w:type="continuationSeparator" w:id="0">
    <w:p w14:paraId="44B1B4BC" w14:textId="77777777" w:rsidR="00137D33" w:rsidRDefault="00137D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D54BE" w14:textId="4B588C78" w:rsidR="00C12309" w:rsidRDefault="009D71E8" w:rsidP="139BF6FD">
    <w:pPr>
      <w:pStyle w:val="TableRow"/>
    </w:pPr>
    <w:r>
      <w:fldChar w:fldCharType="begin"/>
    </w:r>
    <w:r>
      <w:instrText xml:space="preserve"> PAGE </w:instrText>
    </w:r>
    <w:r>
      <w:fldChar w:fldCharType="separate"/>
    </w:r>
    <w:r w:rsidR="139BF6FD" w:rsidRPr="139BF6FD">
      <w:rPr>
        <w:noProof/>
      </w:rPr>
      <w:t>8</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D1D28B" w14:textId="77777777" w:rsidR="00137D33" w:rsidRDefault="00137D33">
      <w:pPr>
        <w:spacing w:after="0" w:line="240" w:lineRule="auto"/>
      </w:pPr>
      <w:r>
        <w:separator/>
      </w:r>
    </w:p>
  </w:footnote>
  <w:footnote w:type="continuationSeparator" w:id="0">
    <w:p w14:paraId="6D3CE092" w14:textId="77777777" w:rsidR="00137D33" w:rsidRDefault="00137D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D54BC" w14:textId="7516A67D" w:rsidR="00C12309" w:rsidRDefault="00C12309" w:rsidP="139BF6FD">
    <w:pPr>
      <w:pStyle w:val="TableRow"/>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E14A88"/>
    <w:multiLevelType w:val="multilevel"/>
    <w:tmpl w:val="192CEE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499761E"/>
    <w:multiLevelType w:val="multilevel"/>
    <w:tmpl w:val="6C86EF6A"/>
    <w:styleLink w:val="LFO6"/>
    <w:lvl w:ilvl="0">
      <w:numFmt w:val="bullet"/>
      <w:pStyle w:val="ListBullet"/>
      <w:lvlText w:val=""/>
      <w:lvlJc w:val="left"/>
      <w:pPr>
        <w:ind w:left="720" w:hanging="360"/>
      </w:pPr>
      <w:rPr>
        <w:rFonts w:ascii="Symbol" w:hAnsi="Symbol"/>
      </w:rPr>
    </w:lvl>
    <w:lvl w:ilvl="1">
      <w:numFmt w:val="bullet"/>
      <w:lvlText w:val=""/>
      <w:lvlJc w:val="left"/>
      <w:pPr>
        <w:ind w:left="1440" w:hanging="360"/>
      </w:pPr>
      <w:rPr>
        <w:rFonts w:ascii="Symbol" w:hAnsi="Symbol"/>
        <w:color w:val="auto"/>
        <w:sz w:val="24"/>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1775220C"/>
    <w:multiLevelType w:val="multilevel"/>
    <w:tmpl w:val="D654D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7A661A9"/>
    <w:multiLevelType w:val="multilevel"/>
    <w:tmpl w:val="AD24F2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FCE693E"/>
    <w:multiLevelType w:val="multilevel"/>
    <w:tmpl w:val="55DC33DE"/>
    <w:styleLink w:val="WWOutlineListStyle"/>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212E2A8F"/>
    <w:multiLevelType w:val="multilevel"/>
    <w:tmpl w:val="D2FCC3E6"/>
    <w:styleLink w:val="LFO34"/>
    <w:lvl w:ilvl="0">
      <w:start w:val="1"/>
      <w:numFmt w:val="decimal"/>
      <w:pStyle w:val="Dept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rPr>
        <w:rFonts w:ascii="Arial" w:hAnsi="Arial"/>
        <w:color w:val="auto"/>
        <w:sz w:val="22"/>
        <w:szCs w:val="22"/>
      </w:r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6" w15:restartNumberingAfterBreak="0">
    <w:nsid w:val="24046A12"/>
    <w:multiLevelType w:val="multilevel"/>
    <w:tmpl w:val="E9CA9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5265E8B"/>
    <w:multiLevelType w:val="multilevel"/>
    <w:tmpl w:val="B024EA62"/>
    <w:styleLink w:val="WWOutlineListStyle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8" w15:restartNumberingAfterBreak="0">
    <w:nsid w:val="26D7422D"/>
    <w:multiLevelType w:val="multilevel"/>
    <w:tmpl w:val="D14605B6"/>
    <w:styleLink w:val="LFO3"/>
    <w:lvl w:ilvl="0">
      <w:start w:val="1"/>
      <w:numFmt w:val="decimal"/>
      <w:pStyle w:val="DfESOutNumbered1"/>
      <w:lvlText w:val="%1."/>
      <w:lvlJc w:val="left"/>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4968" w:hanging="1368"/>
      </w:pPr>
    </w:lvl>
    <w:lvl w:ilvl="6">
      <w:start w:val="1"/>
      <w:numFmt w:val="decimal"/>
      <w:lvlText w:val="%1.%2.%3.%4.%5.%6.%7"/>
      <w:lvlJc w:val="left"/>
      <w:pPr>
        <w:ind w:left="5976" w:hanging="1656"/>
      </w:pPr>
    </w:lvl>
    <w:lvl w:ilvl="7">
      <w:start w:val="1"/>
      <w:numFmt w:val="decimal"/>
      <w:lvlText w:val="%1.%2.%3.%4.%5.%6.%7.%8"/>
      <w:lvlJc w:val="left"/>
      <w:pPr>
        <w:ind w:left="6696" w:hanging="1656"/>
      </w:pPr>
    </w:lvl>
    <w:lvl w:ilvl="8">
      <w:start w:val="1"/>
      <w:numFmt w:val="decimal"/>
      <w:lvlText w:val="%1.%2.%3.%4.%5.%6.%7.%8.%9"/>
      <w:lvlJc w:val="left"/>
      <w:pPr>
        <w:ind w:left="7560" w:hanging="1800"/>
      </w:pPr>
    </w:lvl>
  </w:abstractNum>
  <w:abstractNum w:abstractNumId="9" w15:restartNumberingAfterBreak="0">
    <w:nsid w:val="2ECB6C24"/>
    <w:multiLevelType w:val="multilevel"/>
    <w:tmpl w:val="019C2A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F3F4978"/>
    <w:multiLevelType w:val="multilevel"/>
    <w:tmpl w:val="A296BC9C"/>
    <w:styleLink w:val="LFO4"/>
    <w:lvl w:ilvl="0">
      <w:numFmt w:val="bullet"/>
      <w:pStyle w:val="ListBullet4"/>
      <w:lvlText w:val=""/>
      <w:lvlJc w:val="left"/>
      <w:pPr>
        <w:ind w:left="1209"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1" w15:restartNumberingAfterBreak="0">
    <w:nsid w:val="3A2E3BD7"/>
    <w:multiLevelType w:val="multilevel"/>
    <w:tmpl w:val="F184E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FE9198B"/>
    <w:multiLevelType w:val="multilevel"/>
    <w:tmpl w:val="2A508BBA"/>
    <w:styleLink w:val="LFO9"/>
    <w:lvl w:ilvl="0">
      <w:numFmt w:val="bullet"/>
      <w:pStyle w:val="ListBullet2"/>
      <w:lvlText w:val=""/>
      <w:lvlJc w:val="left"/>
      <w:pPr>
        <w:ind w:left="643"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3" w15:restartNumberingAfterBreak="0">
    <w:nsid w:val="45C13EAF"/>
    <w:multiLevelType w:val="multilevel"/>
    <w:tmpl w:val="F7F4D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8954B9A"/>
    <w:multiLevelType w:val="multilevel"/>
    <w:tmpl w:val="30E06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FDF3112"/>
    <w:multiLevelType w:val="multilevel"/>
    <w:tmpl w:val="6ED6AAE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6" w15:restartNumberingAfterBreak="0">
    <w:nsid w:val="68F37F9D"/>
    <w:multiLevelType w:val="multilevel"/>
    <w:tmpl w:val="DE90E1B2"/>
    <w:styleLink w:val="LFO10"/>
    <w:lvl w:ilvl="0">
      <w:numFmt w:val="bullet"/>
      <w:pStyle w:val="ListBullet3"/>
      <w:lvlText w:val=""/>
      <w:lvlJc w:val="left"/>
      <w:pPr>
        <w:ind w:left="926"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7" w15:restartNumberingAfterBreak="0">
    <w:nsid w:val="6BE87082"/>
    <w:multiLevelType w:val="multilevel"/>
    <w:tmpl w:val="14C2AA72"/>
    <w:styleLink w:val="LFO30"/>
    <w:lvl w:ilvl="0">
      <w:numFmt w:val="bullet"/>
      <w:pStyle w:val="DeptBullets"/>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18" w15:restartNumberingAfterBreak="0">
    <w:nsid w:val="719A5F31"/>
    <w:multiLevelType w:val="multilevel"/>
    <w:tmpl w:val="3B86DE2C"/>
    <w:styleLink w:val="LFO28"/>
    <w:lvl w:ilvl="0">
      <w:start w:val="1"/>
      <w:numFmt w:val="decimal"/>
      <w:pStyle w:val="DfES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19" w15:restartNumberingAfterBreak="0">
    <w:nsid w:val="71A22097"/>
    <w:multiLevelType w:val="multilevel"/>
    <w:tmpl w:val="009E2204"/>
    <w:styleLink w:val="LFO36"/>
    <w:lvl w:ilvl="0">
      <w:numFmt w:val="bullet"/>
      <w:pStyle w:val="DfESBullets"/>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20" w15:restartNumberingAfterBreak="0">
    <w:nsid w:val="75CE2048"/>
    <w:multiLevelType w:val="multilevel"/>
    <w:tmpl w:val="2E54C3FA"/>
    <w:styleLink w:val="LFO25"/>
    <w:lvl w:ilvl="0">
      <w:numFmt w:val="bullet"/>
      <w:pStyle w:val="ListParagraph"/>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347683248">
    <w:abstractNumId w:val="7"/>
  </w:num>
  <w:num w:numId="2" w16cid:durableId="1374430217">
    <w:abstractNumId w:val="4"/>
  </w:num>
  <w:num w:numId="3" w16cid:durableId="237635640">
    <w:abstractNumId w:val="8"/>
  </w:num>
  <w:num w:numId="4" w16cid:durableId="772476562">
    <w:abstractNumId w:val="10"/>
  </w:num>
  <w:num w:numId="5" w16cid:durableId="862330165">
    <w:abstractNumId w:val="1"/>
  </w:num>
  <w:num w:numId="6" w16cid:durableId="1047678819">
    <w:abstractNumId w:val="12"/>
  </w:num>
  <w:num w:numId="7" w16cid:durableId="259070862">
    <w:abstractNumId w:val="16"/>
  </w:num>
  <w:num w:numId="8" w16cid:durableId="457407897">
    <w:abstractNumId w:val="20"/>
  </w:num>
  <w:num w:numId="9" w16cid:durableId="2070879480">
    <w:abstractNumId w:val="18"/>
  </w:num>
  <w:num w:numId="10" w16cid:durableId="1176114479">
    <w:abstractNumId w:val="17"/>
  </w:num>
  <w:num w:numId="11" w16cid:durableId="1778021514">
    <w:abstractNumId w:val="5"/>
  </w:num>
  <w:num w:numId="12" w16cid:durableId="1668437974">
    <w:abstractNumId w:val="19"/>
  </w:num>
  <w:num w:numId="13" w16cid:durableId="1496721092">
    <w:abstractNumId w:val="15"/>
  </w:num>
  <w:num w:numId="14" w16cid:durableId="92282995">
    <w:abstractNumId w:val="6"/>
  </w:num>
  <w:num w:numId="15" w16cid:durableId="1658067275">
    <w:abstractNumId w:val="13"/>
  </w:num>
  <w:num w:numId="16" w16cid:durableId="618101992">
    <w:abstractNumId w:val="3"/>
  </w:num>
  <w:num w:numId="17" w16cid:durableId="113793314">
    <w:abstractNumId w:val="0"/>
  </w:num>
  <w:num w:numId="18" w16cid:durableId="812911728">
    <w:abstractNumId w:val="2"/>
  </w:num>
  <w:num w:numId="19" w16cid:durableId="1993294124">
    <w:abstractNumId w:val="9"/>
  </w:num>
  <w:num w:numId="20" w16cid:durableId="1196889870">
    <w:abstractNumId w:val="14"/>
  </w:num>
  <w:num w:numId="21" w16cid:durableId="15135694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6558"/>
    <w:rsid w:val="00006B49"/>
    <w:rsid w:val="00024200"/>
    <w:rsid w:val="000243B4"/>
    <w:rsid w:val="00034CAD"/>
    <w:rsid w:val="00037FBE"/>
    <w:rsid w:val="00066B73"/>
    <w:rsid w:val="000767CF"/>
    <w:rsid w:val="00077830"/>
    <w:rsid w:val="000A1289"/>
    <w:rsid w:val="000B0A07"/>
    <w:rsid w:val="000B0ED9"/>
    <w:rsid w:val="000D51D6"/>
    <w:rsid w:val="000F346E"/>
    <w:rsid w:val="00102531"/>
    <w:rsid w:val="001048B5"/>
    <w:rsid w:val="00114FE1"/>
    <w:rsid w:val="00120AB1"/>
    <w:rsid w:val="00132354"/>
    <w:rsid w:val="00137D33"/>
    <w:rsid w:val="0017147B"/>
    <w:rsid w:val="00173B51"/>
    <w:rsid w:val="001918C0"/>
    <w:rsid w:val="00191F5F"/>
    <w:rsid w:val="001A2A5F"/>
    <w:rsid w:val="001A7989"/>
    <w:rsid w:val="001BD0C0"/>
    <w:rsid w:val="001D1CE2"/>
    <w:rsid w:val="00210F39"/>
    <w:rsid w:val="0021632D"/>
    <w:rsid w:val="002174DB"/>
    <w:rsid w:val="00233EC8"/>
    <w:rsid w:val="0024179A"/>
    <w:rsid w:val="00266422"/>
    <w:rsid w:val="002846C5"/>
    <w:rsid w:val="00290EEA"/>
    <w:rsid w:val="002A65D9"/>
    <w:rsid w:val="002A74C1"/>
    <w:rsid w:val="002E341B"/>
    <w:rsid w:val="002E37C3"/>
    <w:rsid w:val="002E71F2"/>
    <w:rsid w:val="003073A8"/>
    <w:rsid w:val="00310F4E"/>
    <w:rsid w:val="003247C7"/>
    <w:rsid w:val="00354BB6"/>
    <w:rsid w:val="00362509"/>
    <w:rsid w:val="00364146"/>
    <w:rsid w:val="0037437C"/>
    <w:rsid w:val="00377C92"/>
    <w:rsid w:val="003805CB"/>
    <w:rsid w:val="003B2270"/>
    <w:rsid w:val="003C7E52"/>
    <w:rsid w:val="004044AA"/>
    <w:rsid w:val="00416AAD"/>
    <w:rsid w:val="004226B1"/>
    <w:rsid w:val="00425BCC"/>
    <w:rsid w:val="00436853"/>
    <w:rsid w:val="0044572E"/>
    <w:rsid w:val="00462D24"/>
    <w:rsid w:val="00470BA8"/>
    <w:rsid w:val="004975D2"/>
    <w:rsid w:val="004A4227"/>
    <w:rsid w:val="004A4546"/>
    <w:rsid w:val="004A5572"/>
    <w:rsid w:val="004A776D"/>
    <w:rsid w:val="004B4224"/>
    <w:rsid w:val="004D31A8"/>
    <w:rsid w:val="004D6CB8"/>
    <w:rsid w:val="0050066F"/>
    <w:rsid w:val="00527891"/>
    <w:rsid w:val="00531310"/>
    <w:rsid w:val="00553E44"/>
    <w:rsid w:val="00554C6D"/>
    <w:rsid w:val="00554E13"/>
    <w:rsid w:val="00565837"/>
    <w:rsid w:val="005971DE"/>
    <w:rsid w:val="005A67B3"/>
    <w:rsid w:val="005A680F"/>
    <w:rsid w:val="005B4A53"/>
    <w:rsid w:val="006259BF"/>
    <w:rsid w:val="00634238"/>
    <w:rsid w:val="00635FBC"/>
    <w:rsid w:val="00646E9A"/>
    <w:rsid w:val="00655A8B"/>
    <w:rsid w:val="0067659B"/>
    <w:rsid w:val="006769EE"/>
    <w:rsid w:val="006867B7"/>
    <w:rsid w:val="00687696"/>
    <w:rsid w:val="00690804"/>
    <w:rsid w:val="006974F4"/>
    <w:rsid w:val="006C711E"/>
    <w:rsid w:val="006D3606"/>
    <w:rsid w:val="006D4AA0"/>
    <w:rsid w:val="006E137C"/>
    <w:rsid w:val="006E6B4A"/>
    <w:rsid w:val="006E7FB1"/>
    <w:rsid w:val="006F0028"/>
    <w:rsid w:val="0071204A"/>
    <w:rsid w:val="00717D52"/>
    <w:rsid w:val="00741B9E"/>
    <w:rsid w:val="0075227C"/>
    <w:rsid w:val="00760375"/>
    <w:rsid w:val="007729C5"/>
    <w:rsid w:val="007750C7"/>
    <w:rsid w:val="00794FF2"/>
    <w:rsid w:val="007A0C27"/>
    <w:rsid w:val="007A3C9C"/>
    <w:rsid w:val="007A45E7"/>
    <w:rsid w:val="007C2F04"/>
    <w:rsid w:val="007D78DF"/>
    <w:rsid w:val="007F5A7A"/>
    <w:rsid w:val="0080381D"/>
    <w:rsid w:val="00810AEA"/>
    <w:rsid w:val="0082076C"/>
    <w:rsid w:val="00836136"/>
    <w:rsid w:val="0083620A"/>
    <w:rsid w:val="008567E5"/>
    <w:rsid w:val="00872623"/>
    <w:rsid w:val="00886110"/>
    <w:rsid w:val="00892F1B"/>
    <w:rsid w:val="008C2A58"/>
    <w:rsid w:val="00906872"/>
    <w:rsid w:val="00921FCF"/>
    <w:rsid w:val="00924A04"/>
    <w:rsid w:val="0094483E"/>
    <w:rsid w:val="0094535A"/>
    <w:rsid w:val="00966251"/>
    <w:rsid w:val="0097071F"/>
    <w:rsid w:val="009840A5"/>
    <w:rsid w:val="0098476B"/>
    <w:rsid w:val="009A2A5C"/>
    <w:rsid w:val="009A7447"/>
    <w:rsid w:val="009B739F"/>
    <w:rsid w:val="009C1FEB"/>
    <w:rsid w:val="009D71E8"/>
    <w:rsid w:val="009E6302"/>
    <w:rsid w:val="00A2640D"/>
    <w:rsid w:val="00A46B9F"/>
    <w:rsid w:val="00A47AE8"/>
    <w:rsid w:val="00A72ED6"/>
    <w:rsid w:val="00A73A38"/>
    <w:rsid w:val="00A93ACA"/>
    <w:rsid w:val="00AA0069"/>
    <w:rsid w:val="00AB164C"/>
    <w:rsid w:val="00AB1D5A"/>
    <w:rsid w:val="00AB7018"/>
    <w:rsid w:val="00AD404B"/>
    <w:rsid w:val="00AE6259"/>
    <w:rsid w:val="00B150B5"/>
    <w:rsid w:val="00B22855"/>
    <w:rsid w:val="00B51CF8"/>
    <w:rsid w:val="00B74B53"/>
    <w:rsid w:val="00B76DF9"/>
    <w:rsid w:val="00BA4873"/>
    <w:rsid w:val="00BA60F3"/>
    <w:rsid w:val="00BA7CE4"/>
    <w:rsid w:val="00BD2185"/>
    <w:rsid w:val="00BD45EF"/>
    <w:rsid w:val="00C008AD"/>
    <w:rsid w:val="00C054C0"/>
    <w:rsid w:val="00C12309"/>
    <w:rsid w:val="00C14D32"/>
    <w:rsid w:val="00C1F91B"/>
    <w:rsid w:val="00C26508"/>
    <w:rsid w:val="00C30C06"/>
    <w:rsid w:val="00C43C64"/>
    <w:rsid w:val="00C50964"/>
    <w:rsid w:val="00C642AB"/>
    <w:rsid w:val="00C74302"/>
    <w:rsid w:val="00C761A3"/>
    <w:rsid w:val="00C97361"/>
    <w:rsid w:val="00CA5A37"/>
    <w:rsid w:val="00CB6E58"/>
    <w:rsid w:val="00CC15E5"/>
    <w:rsid w:val="00CD0F15"/>
    <w:rsid w:val="00CF2EC6"/>
    <w:rsid w:val="00D03347"/>
    <w:rsid w:val="00D06874"/>
    <w:rsid w:val="00D06C7D"/>
    <w:rsid w:val="00D1795D"/>
    <w:rsid w:val="00D22747"/>
    <w:rsid w:val="00D33CA1"/>
    <w:rsid w:val="00D33FE5"/>
    <w:rsid w:val="00D4100B"/>
    <w:rsid w:val="00D60A9B"/>
    <w:rsid w:val="00D731ED"/>
    <w:rsid w:val="00D76CE9"/>
    <w:rsid w:val="00DA2E75"/>
    <w:rsid w:val="00DD5351"/>
    <w:rsid w:val="00DD6AA7"/>
    <w:rsid w:val="00E10E2C"/>
    <w:rsid w:val="00E400B2"/>
    <w:rsid w:val="00E66558"/>
    <w:rsid w:val="00E70285"/>
    <w:rsid w:val="00EA51B4"/>
    <w:rsid w:val="00EA6D20"/>
    <w:rsid w:val="00EE6DCC"/>
    <w:rsid w:val="00EF5129"/>
    <w:rsid w:val="00EF6805"/>
    <w:rsid w:val="00F20729"/>
    <w:rsid w:val="00F526C3"/>
    <w:rsid w:val="00F61286"/>
    <w:rsid w:val="00F61C3E"/>
    <w:rsid w:val="00F668D7"/>
    <w:rsid w:val="00F707CF"/>
    <w:rsid w:val="00F757E9"/>
    <w:rsid w:val="00F77CFF"/>
    <w:rsid w:val="00F85F3A"/>
    <w:rsid w:val="00FA5CDF"/>
    <w:rsid w:val="00FB6177"/>
    <w:rsid w:val="00FD2C65"/>
    <w:rsid w:val="00FE0095"/>
    <w:rsid w:val="00FF03D8"/>
    <w:rsid w:val="00FF3FC0"/>
    <w:rsid w:val="01550313"/>
    <w:rsid w:val="01E27AE0"/>
    <w:rsid w:val="02081443"/>
    <w:rsid w:val="0209CCB3"/>
    <w:rsid w:val="0271F29A"/>
    <w:rsid w:val="03FC84D5"/>
    <w:rsid w:val="043189E1"/>
    <w:rsid w:val="046A51EC"/>
    <w:rsid w:val="064AEF35"/>
    <w:rsid w:val="096FD5A7"/>
    <w:rsid w:val="0CC47F25"/>
    <w:rsid w:val="0DC9507B"/>
    <w:rsid w:val="1261B476"/>
    <w:rsid w:val="139BF6FD"/>
    <w:rsid w:val="199F2A0E"/>
    <w:rsid w:val="1ABC1376"/>
    <w:rsid w:val="1E80C80C"/>
    <w:rsid w:val="209A8244"/>
    <w:rsid w:val="21289164"/>
    <w:rsid w:val="234493C8"/>
    <w:rsid w:val="248C3FF7"/>
    <w:rsid w:val="2696EB5B"/>
    <w:rsid w:val="26B4AB89"/>
    <w:rsid w:val="27A66DF5"/>
    <w:rsid w:val="2C2CB22C"/>
    <w:rsid w:val="2C974AF3"/>
    <w:rsid w:val="2CEABB19"/>
    <w:rsid w:val="2E87747A"/>
    <w:rsid w:val="2F06BC8A"/>
    <w:rsid w:val="32AA5F44"/>
    <w:rsid w:val="3356A6DA"/>
    <w:rsid w:val="35A8DA48"/>
    <w:rsid w:val="395A6138"/>
    <w:rsid w:val="398C23D8"/>
    <w:rsid w:val="39BB872D"/>
    <w:rsid w:val="3AA5B316"/>
    <w:rsid w:val="3B59685A"/>
    <w:rsid w:val="3B5AF5F6"/>
    <w:rsid w:val="3C155F10"/>
    <w:rsid w:val="3C626A50"/>
    <w:rsid w:val="3C87A915"/>
    <w:rsid w:val="3CDEF323"/>
    <w:rsid w:val="3CFB1ACE"/>
    <w:rsid w:val="401C2B34"/>
    <w:rsid w:val="4041B947"/>
    <w:rsid w:val="40A0BA5F"/>
    <w:rsid w:val="40A950E4"/>
    <w:rsid w:val="412B0423"/>
    <w:rsid w:val="41404488"/>
    <w:rsid w:val="44F8190E"/>
    <w:rsid w:val="46914693"/>
    <w:rsid w:val="47C40933"/>
    <w:rsid w:val="4ACFB4B4"/>
    <w:rsid w:val="4AE31CE2"/>
    <w:rsid w:val="4B1A1B59"/>
    <w:rsid w:val="4BA1CCB2"/>
    <w:rsid w:val="4C979EC5"/>
    <w:rsid w:val="4F6A4811"/>
    <w:rsid w:val="509EFA39"/>
    <w:rsid w:val="50B12E57"/>
    <w:rsid w:val="53904A7E"/>
    <w:rsid w:val="57D53737"/>
    <w:rsid w:val="57FCAEA5"/>
    <w:rsid w:val="5895C3C2"/>
    <w:rsid w:val="5F2E5C6C"/>
    <w:rsid w:val="60E4D51B"/>
    <w:rsid w:val="62084950"/>
    <w:rsid w:val="6551A305"/>
    <w:rsid w:val="69DACFDB"/>
    <w:rsid w:val="6C5276A1"/>
    <w:rsid w:val="6CA26D7E"/>
    <w:rsid w:val="6CECB20B"/>
    <w:rsid w:val="6EDA0D41"/>
    <w:rsid w:val="6F254ECF"/>
    <w:rsid w:val="7290A6C8"/>
    <w:rsid w:val="73BEBF29"/>
    <w:rsid w:val="7443D9F6"/>
    <w:rsid w:val="74DC730A"/>
    <w:rsid w:val="762AEA78"/>
    <w:rsid w:val="79FFF586"/>
    <w:rsid w:val="7B84A9BC"/>
    <w:rsid w:val="7CA0B8E2"/>
    <w:rsid w:val="7D6F54C0"/>
    <w:rsid w:val="7D970974"/>
    <w:rsid w:val="7DC94B69"/>
    <w:rsid w:val="7E3ECE1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7D54B1"/>
  <w15:docId w15:val="{62148E6B-690E-419F-B9E3-93CF2A6DF9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lang w:val="en-GB" w:eastAsia="en-GB" w:bidi="ar-SA"/>
      </w:rPr>
    </w:rPrDefault>
    <w:pPrDefault>
      <w:pPr>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240" w:line="288" w:lineRule="auto"/>
    </w:pPr>
    <w:rPr>
      <w:color w:val="0D0D0D"/>
      <w:sz w:val="24"/>
      <w:szCs w:val="24"/>
    </w:rPr>
  </w:style>
  <w:style w:type="paragraph" w:styleId="Heading1">
    <w:name w:val="heading 1"/>
    <w:basedOn w:val="Normal"/>
    <w:next w:val="Normal"/>
    <w:uiPriority w:val="9"/>
    <w:qFormat/>
    <w:pPr>
      <w:pageBreakBefore/>
      <w:spacing w:line="240" w:lineRule="auto"/>
      <w:outlineLvl w:val="0"/>
    </w:pPr>
    <w:rPr>
      <w:b/>
      <w:color w:val="104F75"/>
      <w:sz w:val="36"/>
    </w:rPr>
  </w:style>
  <w:style w:type="paragraph" w:styleId="Heading2">
    <w:name w:val="heading 2"/>
    <w:basedOn w:val="Normal"/>
    <w:next w:val="Normal"/>
    <w:uiPriority w:val="9"/>
    <w:unhideWhenUsed/>
    <w:qFormat/>
    <w:pPr>
      <w:keepNext/>
      <w:spacing w:before="480" w:line="240" w:lineRule="auto"/>
      <w:outlineLvl w:val="1"/>
    </w:pPr>
    <w:rPr>
      <w:b/>
      <w:color w:val="104F75"/>
      <w:sz w:val="32"/>
      <w:szCs w:val="32"/>
    </w:rPr>
  </w:style>
  <w:style w:type="paragraph" w:styleId="Heading3">
    <w:name w:val="heading 3"/>
    <w:basedOn w:val="Heading2"/>
    <w:next w:val="Normal"/>
    <w:uiPriority w:val="9"/>
    <w:unhideWhenUsed/>
    <w:qFormat/>
    <w:pPr>
      <w:spacing w:before="360"/>
      <w:outlineLvl w:val="2"/>
    </w:pPr>
    <w:rPr>
      <w:bCs/>
      <w:sz w:val="28"/>
      <w:szCs w:val="28"/>
    </w:rPr>
  </w:style>
  <w:style w:type="paragraph" w:styleId="Heading4">
    <w:name w:val="heading 4"/>
    <w:basedOn w:val="Heading2"/>
    <w:next w:val="Normal"/>
    <w:uiPriority w:val="9"/>
    <w:semiHidden/>
    <w:unhideWhenUsed/>
    <w:qFormat/>
    <w:pPr>
      <w:spacing w:before="240"/>
      <w:outlineLvl w:val="3"/>
    </w:pPr>
    <w:rPr>
      <w:bCs/>
      <w:sz w:val="24"/>
      <w:szCs w:val="28"/>
    </w:rPr>
  </w:style>
  <w:style w:type="paragraph" w:styleId="Heading5">
    <w:name w:val="heading 5"/>
    <w:basedOn w:val="Normal"/>
    <w:next w:val="Normal"/>
    <w:uiPriority w:val="9"/>
    <w:semiHidden/>
    <w:unhideWhenUsed/>
    <w:qFormat/>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uiPriority w:val="9"/>
    <w:semiHidden/>
    <w:unhideWhenUsed/>
    <w:qFormat/>
    <w:pPr>
      <w:numPr>
        <w:ilvl w:val="5"/>
        <w:numId w:val="1"/>
      </w:numPr>
      <w:spacing w:before="240" w:after="60"/>
      <w:outlineLvl w:val="5"/>
    </w:pPr>
    <w:rPr>
      <w:rFonts w:ascii="Calibri" w:hAnsi="Calibri"/>
      <w:b/>
      <w:bCs/>
      <w:szCs w:val="22"/>
    </w:rPr>
  </w:style>
  <w:style w:type="paragraph" w:styleId="Heading7">
    <w:name w:val="heading 7"/>
    <w:basedOn w:val="Normal"/>
    <w:next w:val="Normal"/>
    <w:pPr>
      <w:numPr>
        <w:ilvl w:val="6"/>
        <w:numId w:val="1"/>
      </w:numPr>
      <w:spacing w:before="240" w:after="60"/>
      <w:outlineLvl w:val="6"/>
    </w:pPr>
    <w:rPr>
      <w:rFonts w:ascii="Calibri" w:hAnsi="Calibri"/>
    </w:rPr>
  </w:style>
  <w:style w:type="paragraph" w:styleId="Heading8">
    <w:name w:val="heading 8"/>
    <w:basedOn w:val="Normal"/>
    <w:next w:val="Normal"/>
    <w:pPr>
      <w:numPr>
        <w:ilvl w:val="7"/>
        <w:numId w:val="1"/>
      </w:numPr>
      <w:spacing w:before="240" w:after="60"/>
      <w:outlineLvl w:val="7"/>
    </w:pPr>
    <w:rPr>
      <w:rFonts w:ascii="Calibri" w:hAnsi="Calibri"/>
      <w:i/>
      <w:iCs/>
    </w:rPr>
  </w:style>
  <w:style w:type="paragraph" w:styleId="Heading9">
    <w:name w:val="heading 9"/>
    <w:basedOn w:val="Normal"/>
    <w:next w:val="Normal"/>
    <w:pPr>
      <w:numPr>
        <w:ilvl w:val="8"/>
        <w:numId w:val="1"/>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1">
    <w:name w:val="WW_OutlineListStyle_1"/>
    <w:basedOn w:val="NoList"/>
    <w:pPr>
      <w:numPr>
        <w:numId w:val="1"/>
      </w:numPr>
    </w:pPr>
  </w:style>
  <w:style w:type="character" w:customStyle="1" w:styleId="Heading1Char">
    <w:name w:val="Heading 1 Char"/>
    <w:rPr>
      <w:b/>
      <w:color w:val="104F75"/>
      <w:sz w:val="36"/>
      <w:szCs w:val="24"/>
    </w:rPr>
  </w:style>
  <w:style w:type="character" w:customStyle="1" w:styleId="Heading2Char">
    <w:name w:val="Heading 2 Char"/>
    <w:rPr>
      <w:b/>
      <w:color w:val="104F75"/>
      <w:sz w:val="32"/>
      <w:szCs w:val="32"/>
    </w:rPr>
  </w:style>
  <w:style w:type="character" w:customStyle="1" w:styleId="Heading3Char">
    <w:name w:val="Heading 3 Char"/>
    <w:rPr>
      <w:b/>
      <w:bCs/>
      <w:color w:val="104F75"/>
      <w:sz w:val="28"/>
      <w:szCs w:val="28"/>
    </w:rPr>
  </w:style>
  <w:style w:type="character" w:styleId="Hyperlink">
    <w:name w:val="Hyperlink"/>
    <w:rPr>
      <w:rFonts w:ascii="Arial" w:hAnsi="Arial"/>
      <w:color w:val="0000FF"/>
      <w:sz w:val="24"/>
      <w:u w:val="single"/>
    </w:rPr>
  </w:style>
  <w:style w:type="paragraph" w:styleId="TOCHeading">
    <w:name w:val="TOC Heading"/>
    <w:basedOn w:val="Normal"/>
    <w:next w:val="Normal"/>
    <w:pPr>
      <w:pageBreakBefore/>
    </w:pPr>
    <w:rPr>
      <w:rFonts w:cs="Arial"/>
      <w:b/>
      <w:color w:val="365F91"/>
      <w:sz w:val="36"/>
      <w:szCs w:val="28"/>
      <w:lang w:eastAsia="ja-JP"/>
    </w:rPr>
  </w:style>
  <w:style w:type="paragraph" w:customStyle="1" w:styleId="TitleText">
    <w:name w:val="TitleText"/>
    <w:basedOn w:val="Normal"/>
    <w:pPr>
      <w:spacing w:before="3600" w:line="240" w:lineRule="auto"/>
    </w:pPr>
    <w:rPr>
      <w:rFonts w:cs="Arial"/>
      <w:b/>
      <w:color w:val="104F75"/>
      <w:sz w:val="92"/>
      <w:szCs w:val="92"/>
    </w:rPr>
  </w:style>
  <w:style w:type="character" w:customStyle="1" w:styleId="TitleTextChar">
    <w:name w:val="TitleText Char"/>
    <w:rPr>
      <w:rFonts w:cs="Arial"/>
      <w:b/>
      <w:color w:val="104F75"/>
      <w:sz w:val="92"/>
      <w:szCs w:val="92"/>
    </w:rPr>
  </w:style>
  <w:style w:type="paragraph" w:customStyle="1" w:styleId="SubtitleText">
    <w:name w:val="SubtitleText"/>
    <w:basedOn w:val="Normal"/>
    <w:pPr>
      <w:spacing w:after="1520"/>
    </w:pPr>
    <w:rPr>
      <w:rFonts w:cs="Arial"/>
      <w:b/>
      <w:color w:val="104F75"/>
      <w:sz w:val="48"/>
      <w:szCs w:val="48"/>
    </w:rPr>
  </w:style>
  <w:style w:type="character" w:customStyle="1" w:styleId="SubtitleTextChar">
    <w:name w:val="SubtitleText Char"/>
    <w:rPr>
      <w:rFonts w:cs="Arial"/>
      <w:b/>
      <w:color w:val="104F75"/>
      <w:sz w:val="48"/>
      <w:szCs w:val="48"/>
    </w:rPr>
  </w:style>
  <w:style w:type="paragraph" w:styleId="ListBullet">
    <w:name w:val="List Bullet"/>
    <w:basedOn w:val="ListBullet5"/>
    <w:pPr>
      <w:numPr>
        <w:numId w:val="5"/>
      </w:numPr>
      <w:contextualSpacing/>
    </w:pPr>
  </w:style>
  <w:style w:type="paragraph" w:styleId="TOC1">
    <w:name w:val="toc 1"/>
    <w:basedOn w:val="Normal"/>
    <w:next w:val="Normal"/>
    <w:autoRedefine/>
    <w:pPr>
      <w:tabs>
        <w:tab w:val="right" w:pos="9498"/>
      </w:tabs>
      <w:spacing w:after="120"/>
    </w:pPr>
  </w:style>
  <w:style w:type="paragraph" w:styleId="TOC2">
    <w:name w:val="toc 2"/>
    <w:basedOn w:val="Normal"/>
    <w:next w:val="Normal"/>
    <w:autoRedefine/>
    <w:pPr>
      <w:tabs>
        <w:tab w:val="right" w:pos="9498"/>
      </w:tabs>
      <w:spacing w:after="120"/>
      <w:ind w:left="238"/>
    </w:pPr>
  </w:style>
  <w:style w:type="paragraph" w:styleId="TOC3">
    <w:name w:val="toc 3"/>
    <w:basedOn w:val="Normal"/>
    <w:next w:val="Normal"/>
    <w:autoRedefine/>
    <w:pPr>
      <w:tabs>
        <w:tab w:val="right" w:pos="9498"/>
      </w:tabs>
      <w:spacing w:after="120"/>
      <w:ind w:left="480"/>
    </w:pPr>
  </w:style>
  <w:style w:type="paragraph" w:customStyle="1" w:styleId="CopyrightBox">
    <w:name w:val="CopyrightBox"/>
    <w:basedOn w:val="Normal"/>
  </w:style>
  <w:style w:type="character" w:customStyle="1" w:styleId="CopyrightBoxChar">
    <w:name w:val="CopyrightBox Char"/>
    <w:rPr>
      <w:color w:val="0D0D0D"/>
      <w:sz w:val="24"/>
      <w:szCs w:val="24"/>
    </w:rPr>
  </w:style>
  <w:style w:type="paragraph" w:customStyle="1" w:styleId="CopyrightSpacing">
    <w:name w:val="CopyrightSpacing"/>
    <w:basedOn w:val="Normal"/>
    <w:pPr>
      <w:spacing w:before="6000" w:after="120"/>
    </w:pPr>
  </w:style>
  <w:style w:type="character" w:customStyle="1" w:styleId="CopyrightSpacingChar">
    <w:name w:val="CopyrightSpacing Char"/>
    <w:rPr>
      <w:sz w:val="24"/>
      <w:szCs w:val="24"/>
    </w:rPr>
  </w:style>
  <w:style w:type="paragraph" w:styleId="Title">
    <w:name w:val="Title"/>
    <w:basedOn w:val="Normal"/>
    <w:next w:val="Normal"/>
    <w:uiPriority w:val="10"/>
    <w:qFormat/>
    <w:pPr>
      <w:spacing w:before="240" w:line="240" w:lineRule="auto"/>
    </w:pPr>
    <w:rPr>
      <w:b/>
      <w:color w:val="104F75"/>
      <w:sz w:val="96"/>
      <w:szCs w:val="120"/>
    </w:rPr>
  </w:style>
  <w:style w:type="character" w:customStyle="1" w:styleId="TitleChar">
    <w:name w:val="Title Char"/>
    <w:rPr>
      <w:rFonts w:ascii="Arial" w:hAnsi="Arial" w:cs="Arial"/>
      <w:b/>
      <w:color w:val="104F75"/>
      <w:sz w:val="96"/>
      <w:szCs w:val="120"/>
      <w:lang w:eastAsia="en-US"/>
    </w:rPr>
  </w:style>
  <w:style w:type="paragraph" w:styleId="TableofFigures">
    <w:name w:val="table of figures"/>
    <w:basedOn w:val="Normal"/>
    <w:next w:val="Normal"/>
    <w:pPr>
      <w:spacing w:after="120"/>
    </w:pPr>
  </w:style>
  <w:style w:type="paragraph" w:styleId="ListBullet4">
    <w:name w:val="List Bullet 4"/>
    <w:basedOn w:val="Normal"/>
    <w:pPr>
      <w:numPr>
        <w:numId w:val="4"/>
      </w:numPr>
      <w:contextualSpacing/>
    </w:pPr>
  </w:style>
  <w:style w:type="paragraph" w:styleId="ListParagraph">
    <w:name w:val="List Paragraph"/>
    <w:basedOn w:val="Normal"/>
    <w:pPr>
      <w:numPr>
        <w:numId w:val="8"/>
      </w:numPr>
      <w:contextualSpacing/>
    </w:pPr>
  </w:style>
  <w:style w:type="paragraph" w:styleId="Caption">
    <w:name w:val="caption"/>
    <w:basedOn w:val="Normal"/>
    <w:next w:val="Normal"/>
    <w:pPr>
      <w:spacing w:before="120" w:after="120"/>
      <w:jc w:val="center"/>
    </w:pPr>
    <w:rPr>
      <w:b/>
      <w:bCs/>
      <w:color w:val="000000"/>
      <w:sz w:val="20"/>
      <w:szCs w:val="20"/>
    </w:rPr>
  </w:style>
  <w:style w:type="character" w:customStyle="1" w:styleId="Heading4Char">
    <w:name w:val="Heading 4 Char"/>
    <w:rPr>
      <w:b/>
      <w:bCs/>
      <w:color w:val="104F75"/>
      <w:sz w:val="24"/>
      <w:szCs w:val="28"/>
    </w:rPr>
  </w:style>
  <w:style w:type="character" w:customStyle="1" w:styleId="Heading5Char">
    <w:name w:val="Heading 5 Char"/>
    <w:rPr>
      <w:rFonts w:ascii="Calibri" w:hAnsi="Calibri"/>
      <w:b/>
      <w:bCs/>
      <w:i/>
      <w:iCs/>
      <w:color w:val="0D0D0D"/>
      <w:sz w:val="26"/>
      <w:szCs w:val="26"/>
    </w:rPr>
  </w:style>
  <w:style w:type="character" w:customStyle="1" w:styleId="Heading6Char">
    <w:name w:val="Heading 6 Char"/>
    <w:rPr>
      <w:rFonts w:ascii="Calibri" w:hAnsi="Calibri"/>
      <w:b/>
      <w:bCs/>
      <w:color w:val="0D0D0D"/>
      <w:sz w:val="24"/>
      <w:szCs w:val="22"/>
    </w:rPr>
  </w:style>
  <w:style w:type="character" w:customStyle="1" w:styleId="Heading7Char">
    <w:name w:val="Heading 7 Char"/>
    <w:rPr>
      <w:rFonts w:ascii="Calibri" w:hAnsi="Calibri"/>
      <w:color w:val="0D0D0D"/>
      <w:sz w:val="24"/>
      <w:szCs w:val="24"/>
    </w:rPr>
  </w:style>
  <w:style w:type="character" w:customStyle="1" w:styleId="Heading8Char">
    <w:name w:val="Heading 8 Char"/>
    <w:rPr>
      <w:rFonts w:ascii="Calibri" w:hAnsi="Calibri"/>
      <w:i/>
      <w:iCs/>
      <w:color w:val="0D0D0D"/>
      <w:sz w:val="24"/>
      <w:szCs w:val="24"/>
    </w:rPr>
  </w:style>
  <w:style w:type="character" w:customStyle="1" w:styleId="Heading9Char">
    <w:name w:val="Heading 9 Char"/>
    <w:rPr>
      <w:rFonts w:ascii="Cambria" w:hAnsi="Cambria"/>
      <w:color w:val="0D0D0D"/>
      <w:sz w:val="24"/>
      <w:szCs w:val="22"/>
    </w:rPr>
  </w:style>
  <w:style w:type="paragraph" w:styleId="BodyText">
    <w:name w:val="Body Text"/>
    <w:basedOn w:val="Normal"/>
    <w:pPr>
      <w:spacing w:after="120"/>
    </w:pPr>
  </w:style>
  <w:style w:type="character" w:customStyle="1" w:styleId="BodyTextChar">
    <w:name w:val="Body Text Char"/>
    <w:basedOn w:val="DefaultParagraphFont"/>
    <w:rPr>
      <w:color w:val="0D0D0D"/>
      <w:sz w:val="24"/>
      <w:szCs w:val="24"/>
    </w:rPr>
  </w:style>
  <w:style w:type="paragraph" w:customStyle="1" w:styleId="TableHeader">
    <w:name w:val="TableHeader"/>
    <w:pPr>
      <w:suppressAutoHyphens/>
      <w:spacing w:before="60" w:after="60"/>
      <w:ind w:left="57" w:right="57"/>
      <w:jc w:val="center"/>
    </w:pPr>
    <w:rPr>
      <w:b/>
      <w:color w:val="0D0D0D"/>
      <w:sz w:val="24"/>
      <w:szCs w:val="24"/>
    </w:rPr>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rPr>
      <w:rFonts w:ascii="Tahoma" w:hAnsi="Tahoma" w:cs="Tahoma"/>
      <w:sz w:val="16"/>
      <w:szCs w:val="16"/>
    </w:rPr>
  </w:style>
  <w:style w:type="paragraph" w:customStyle="1" w:styleId="TableRow">
    <w:name w:val="TableRow"/>
    <w:pPr>
      <w:suppressAutoHyphens/>
      <w:spacing w:before="60" w:after="60"/>
      <w:ind w:left="57" w:right="57"/>
    </w:pPr>
    <w:rPr>
      <w:color w:val="0D0D0D"/>
      <w:sz w:val="24"/>
      <w:szCs w:val="24"/>
    </w:rPr>
  </w:style>
  <w:style w:type="character" w:customStyle="1" w:styleId="TableRowChar">
    <w:name w:val="TableRow Char"/>
    <w:rPr>
      <w:color w:val="0D0D0D"/>
      <w:sz w:val="24"/>
      <w:szCs w:val="24"/>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rPr>
      <w:color w:val="0D0D0D"/>
      <w:sz w:val="24"/>
      <w:szCs w:val="24"/>
    </w:rPr>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rPr>
      <w:color w:val="0D0D0D"/>
      <w:sz w:val="24"/>
      <w:szCs w:val="24"/>
    </w:rPr>
  </w:style>
  <w:style w:type="character" w:styleId="FollowedHyperlink">
    <w:name w:val="FollowedHyperlink"/>
    <w:basedOn w:val="DefaultParagraphFont"/>
    <w:rPr>
      <w:color w:val="0000FF"/>
      <w:u w:val="single"/>
    </w:rPr>
  </w:style>
  <w:style w:type="paragraph" w:styleId="FootnoteText">
    <w:name w:val="footnote text"/>
    <w:basedOn w:val="Normal"/>
    <w:pPr>
      <w:spacing w:after="60" w:line="240" w:lineRule="auto"/>
    </w:pPr>
    <w:rPr>
      <w:sz w:val="20"/>
      <w:szCs w:val="20"/>
    </w:rPr>
  </w:style>
  <w:style w:type="character" w:customStyle="1" w:styleId="FootnoteTextChar">
    <w:name w:val="Footnote Text Char"/>
    <w:basedOn w:val="DefaultParagraphFont"/>
  </w:style>
  <w:style w:type="character" w:styleId="FootnoteReference">
    <w:name w:val="footnote reference"/>
    <w:basedOn w:val="DefaultParagraphFont"/>
    <w:rPr>
      <w:position w:val="0"/>
      <w:vertAlign w:val="superscript"/>
    </w:rPr>
  </w:style>
  <w:style w:type="character" w:customStyle="1" w:styleId="RGB">
    <w:name w:val="RGB"/>
    <w:basedOn w:val="DefaultParagraphFont"/>
    <w:rPr>
      <w:b/>
      <w:bCs/>
      <w:sz w:val="20"/>
    </w:rPr>
  </w:style>
  <w:style w:type="paragraph" w:customStyle="1" w:styleId="ColouredBoxHeadline">
    <w:name w:val="Coloured Box Headline"/>
    <w:basedOn w:val="Normal"/>
    <w:pPr>
      <w:spacing w:before="120"/>
    </w:pPr>
    <w:rPr>
      <w:b/>
      <w:bCs/>
      <w:sz w:val="28"/>
      <w:szCs w:val="20"/>
    </w:rPr>
  </w:style>
  <w:style w:type="character" w:customStyle="1" w:styleId="RGBValues">
    <w:name w:val="RGB Values"/>
    <w:basedOn w:val="DefaultParagraphFont"/>
    <w:rPr>
      <w:sz w:val="20"/>
    </w:rPr>
  </w:style>
  <w:style w:type="paragraph" w:styleId="ListBullet5">
    <w:name w:val="List Bullet 5"/>
    <w:basedOn w:val="Normal"/>
  </w:style>
  <w:style w:type="character" w:styleId="CommentReference">
    <w:name w:val="annotation reference"/>
    <w:basedOn w:val="DefaultParagraphFont"/>
  </w:style>
  <w:style w:type="paragraph" w:styleId="CommentText">
    <w:name w:val="annotation text"/>
    <w:basedOn w:val="Normal"/>
    <w:pPr>
      <w:spacing w:line="240" w:lineRule="auto"/>
    </w:pPr>
    <w:rPr>
      <w:sz w:val="20"/>
      <w:szCs w:val="20"/>
    </w:rPr>
  </w:style>
  <w:style w:type="character" w:customStyle="1" w:styleId="CommentTextChar">
    <w:name w:val="Comment Text Char"/>
    <w:basedOn w:val="DefaultParagraphFont"/>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rPr>
  </w:style>
  <w:style w:type="paragraph" w:customStyle="1" w:styleId="Centredembed">
    <w:name w:val="Centred embed"/>
    <w:basedOn w:val="Normal"/>
    <w:pPr>
      <w:spacing w:after="0"/>
      <w:jc w:val="center"/>
    </w:pPr>
    <w:rPr>
      <w:szCs w:val="20"/>
    </w:rPr>
  </w:style>
  <w:style w:type="paragraph" w:styleId="Date">
    <w:name w:val="Date"/>
    <w:basedOn w:val="Normal"/>
    <w:next w:val="Normal"/>
    <w:rPr>
      <w:rFonts w:cs="Arial"/>
      <w:b/>
      <w:bCs/>
      <w:color w:val="104F75"/>
      <w:sz w:val="44"/>
      <w:szCs w:val="44"/>
    </w:rPr>
  </w:style>
  <w:style w:type="character" w:customStyle="1" w:styleId="DateChar">
    <w:name w:val="Date Char"/>
    <w:basedOn w:val="DefaultParagraphFont"/>
    <w:rPr>
      <w:rFonts w:cs="Arial"/>
      <w:b/>
      <w:bCs/>
      <w:color w:val="104F75"/>
      <w:sz w:val="44"/>
      <w:szCs w:val="44"/>
    </w:rPr>
  </w:style>
  <w:style w:type="character" w:customStyle="1" w:styleId="SourceChar">
    <w:name w:val="Source Char"/>
    <w:basedOn w:val="DefaultParagraphFont"/>
  </w:style>
  <w:style w:type="paragraph" w:customStyle="1" w:styleId="Source">
    <w:name w:val="Source"/>
    <w:basedOn w:val="Normal"/>
    <w:pPr>
      <w:jc w:val="right"/>
    </w:pPr>
    <w:rPr>
      <w:sz w:val="20"/>
      <w:szCs w:val="20"/>
    </w:rPr>
  </w:style>
  <w:style w:type="paragraph" w:customStyle="1" w:styleId="DfESOutNumbered1">
    <w:name w:val="DfESOutNumbered1"/>
    <w:basedOn w:val="Normal"/>
    <w:pPr>
      <w:numPr>
        <w:numId w:val="3"/>
      </w:numPr>
    </w:pPr>
  </w:style>
  <w:style w:type="character" w:customStyle="1" w:styleId="DfESOutNumbered1Char">
    <w:name w:val="DfESOutNumbered1 Char"/>
    <w:rPr>
      <w:sz w:val="24"/>
      <w:szCs w:val="24"/>
    </w:rPr>
  </w:style>
  <w:style w:type="paragraph" w:customStyle="1" w:styleId="TableRowRight">
    <w:name w:val="TableRowRight"/>
    <w:basedOn w:val="TableRow"/>
    <w:pPr>
      <w:jc w:val="right"/>
    </w:pPr>
    <w:rPr>
      <w:szCs w:val="20"/>
    </w:rPr>
  </w:style>
  <w:style w:type="paragraph" w:customStyle="1" w:styleId="TableRowCentered">
    <w:name w:val="TableRowCentered"/>
    <w:basedOn w:val="TableRow"/>
    <w:pPr>
      <w:jc w:val="center"/>
    </w:pPr>
    <w:rPr>
      <w:szCs w:val="20"/>
    </w:rPr>
  </w:style>
  <w:style w:type="paragraph" w:customStyle="1" w:styleId="SocialMedia">
    <w:name w:val="SocialMedia"/>
    <w:basedOn w:val="Normal"/>
    <w:pPr>
      <w:tabs>
        <w:tab w:val="left" w:pos="4253"/>
        <w:tab w:val="left" w:pos="4820"/>
      </w:tabs>
      <w:spacing w:after="0" w:line="240" w:lineRule="auto"/>
      <w:ind w:firstLine="34"/>
    </w:pPr>
  </w:style>
  <w:style w:type="paragraph" w:customStyle="1" w:styleId="Reference">
    <w:name w:val="Reference"/>
    <w:basedOn w:val="Normal"/>
    <w:pPr>
      <w:tabs>
        <w:tab w:val="left" w:pos="1701"/>
      </w:tabs>
      <w:spacing w:before="240"/>
    </w:pPr>
  </w:style>
  <w:style w:type="character" w:customStyle="1" w:styleId="SocialMediaChar">
    <w:name w:val="SocialMedia Char"/>
    <w:basedOn w:val="DefaultParagraphFont"/>
    <w:rPr>
      <w:sz w:val="24"/>
      <w:szCs w:val="24"/>
    </w:rPr>
  </w:style>
  <w:style w:type="paragraph" w:customStyle="1" w:styleId="Licence">
    <w:name w:val="Licence"/>
    <w:basedOn w:val="Normal"/>
    <w:pPr>
      <w:tabs>
        <w:tab w:val="left" w:pos="1418"/>
      </w:tabs>
      <w:ind w:left="284"/>
      <w:contextualSpacing/>
    </w:pPr>
  </w:style>
  <w:style w:type="character" w:customStyle="1" w:styleId="ReferenceChar">
    <w:name w:val="Reference Char"/>
    <w:basedOn w:val="DefaultParagraphFont"/>
    <w:rPr>
      <w:color w:val="0D0D0D"/>
      <w:sz w:val="24"/>
      <w:szCs w:val="24"/>
    </w:rPr>
  </w:style>
  <w:style w:type="paragraph" w:customStyle="1" w:styleId="LicenceIntro">
    <w:name w:val="LicenceIntro"/>
    <w:basedOn w:val="Licence"/>
    <w:pPr>
      <w:spacing w:after="0"/>
      <w:ind w:left="0"/>
    </w:pPr>
    <w:rPr>
      <w:szCs w:val="20"/>
    </w:rPr>
  </w:style>
  <w:style w:type="character" w:customStyle="1" w:styleId="LicenceChar">
    <w:name w:val="Licence Char"/>
    <w:basedOn w:val="DefaultParagraphFont"/>
    <w:rPr>
      <w:sz w:val="24"/>
      <w:szCs w:val="24"/>
    </w:rPr>
  </w:style>
  <w:style w:type="paragraph" w:styleId="ListBullet2">
    <w:name w:val="List Bullet 2"/>
    <w:basedOn w:val="Normal"/>
    <w:pPr>
      <w:numPr>
        <w:numId w:val="6"/>
      </w:numPr>
      <w:tabs>
        <w:tab w:val="left" w:pos="491"/>
      </w:tabs>
      <w:contextualSpacing/>
    </w:pPr>
  </w:style>
  <w:style w:type="paragraph" w:customStyle="1" w:styleId="Logos">
    <w:name w:val="Logos"/>
    <w:basedOn w:val="Normal"/>
    <w:pPr>
      <w:pageBreakBefore/>
      <w:widowControl w:val="0"/>
    </w:pPr>
  </w:style>
  <w:style w:type="character" w:customStyle="1" w:styleId="LogosChar">
    <w:name w:val="Logos Char"/>
    <w:basedOn w:val="DefaultParagraphFont"/>
    <w:rPr>
      <w:color w:val="0D0D0D"/>
      <w:sz w:val="24"/>
      <w:szCs w:val="24"/>
    </w:rPr>
  </w:style>
  <w:style w:type="paragraph" w:styleId="ListBullet3">
    <w:name w:val="List Bullet 3"/>
    <w:basedOn w:val="Normal"/>
    <w:pPr>
      <w:numPr>
        <w:numId w:val="7"/>
      </w:numPr>
      <w:contextualSpacing/>
    </w:pPr>
  </w:style>
  <w:style w:type="paragraph" w:customStyle="1" w:styleId="DfESOutNumbered">
    <w:name w:val="DfESOutNumbered"/>
    <w:basedOn w:val="Normal"/>
    <w:pPr>
      <w:widowControl w:val="0"/>
      <w:numPr>
        <w:numId w:val="9"/>
      </w:numPr>
      <w:overflowPunct w:val="0"/>
      <w:autoSpaceDE w:val="0"/>
      <w:spacing w:line="240" w:lineRule="auto"/>
      <w:textAlignment w:val="baseline"/>
    </w:pPr>
    <w:rPr>
      <w:rFonts w:cs="Arial"/>
      <w:color w:val="auto"/>
      <w:sz w:val="22"/>
      <w:szCs w:val="20"/>
      <w:lang w:eastAsia="en-US"/>
    </w:rPr>
  </w:style>
  <w:style w:type="character" w:customStyle="1" w:styleId="DfESOutNumberedChar">
    <w:name w:val="DfESOutNumbered Char"/>
    <w:basedOn w:val="LogosChar"/>
    <w:rPr>
      <w:rFonts w:cs="Arial"/>
      <w:color w:val="0D0D0D"/>
      <w:sz w:val="22"/>
      <w:szCs w:val="24"/>
      <w:lang w:eastAsia="en-US"/>
    </w:rPr>
  </w:style>
  <w:style w:type="paragraph" w:customStyle="1" w:styleId="DeptBullets">
    <w:name w:val="DeptBullets"/>
    <w:basedOn w:val="Normal"/>
    <w:pPr>
      <w:widowControl w:val="0"/>
      <w:numPr>
        <w:numId w:val="10"/>
      </w:numPr>
      <w:overflowPunct w:val="0"/>
      <w:autoSpaceDE w:val="0"/>
      <w:spacing w:line="240" w:lineRule="auto"/>
      <w:textAlignment w:val="baseline"/>
    </w:pPr>
    <w:rPr>
      <w:color w:val="auto"/>
      <w:szCs w:val="20"/>
      <w:lang w:eastAsia="en-US"/>
    </w:rPr>
  </w:style>
  <w:style w:type="character" w:customStyle="1" w:styleId="DeptBulletsChar">
    <w:name w:val="DeptBullets Char"/>
    <w:basedOn w:val="LogosChar"/>
    <w:rPr>
      <w:color w:val="0D0D0D"/>
      <w:sz w:val="24"/>
      <w:szCs w:val="24"/>
      <w:lang w:eastAsia="en-US"/>
    </w:rPr>
  </w:style>
  <w:style w:type="paragraph" w:customStyle="1" w:styleId="TOCHeader">
    <w:name w:val="TOC Header"/>
    <w:pPr>
      <w:pageBreakBefore/>
      <w:suppressAutoHyphens/>
    </w:pPr>
    <w:rPr>
      <w:b/>
      <w:color w:val="104F75"/>
      <w:sz w:val="36"/>
      <w:szCs w:val="24"/>
    </w:rPr>
  </w:style>
  <w:style w:type="character" w:customStyle="1" w:styleId="TOCHeaderChar">
    <w:name w:val="TOC Header Char"/>
    <w:rPr>
      <w:b/>
      <w:color w:val="104F75"/>
      <w:sz w:val="36"/>
      <w:szCs w:val="24"/>
    </w:rPr>
  </w:style>
  <w:style w:type="paragraph" w:styleId="BodyTextIndent">
    <w:name w:val="Body Text Indent"/>
    <w:basedOn w:val="Normal"/>
    <w:pPr>
      <w:widowControl w:val="0"/>
      <w:overflowPunct w:val="0"/>
      <w:autoSpaceDE w:val="0"/>
      <w:spacing w:after="0" w:line="240" w:lineRule="auto"/>
      <w:ind w:left="288"/>
      <w:textAlignment w:val="baseline"/>
    </w:pPr>
    <w:rPr>
      <w:color w:val="auto"/>
      <w:szCs w:val="20"/>
      <w:lang w:eastAsia="en-US"/>
    </w:rPr>
  </w:style>
  <w:style w:type="character" w:customStyle="1" w:styleId="BodyTextIndentChar">
    <w:name w:val="Body Text Indent Char"/>
    <w:basedOn w:val="DefaultParagraphFont"/>
    <w:rPr>
      <w:sz w:val="24"/>
      <w:lang w:eastAsia="en-US"/>
    </w:rPr>
  </w:style>
  <w:style w:type="paragraph" w:customStyle="1" w:styleId="DeptOutNumbered">
    <w:name w:val="DeptOutNumbered"/>
    <w:basedOn w:val="Normal"/>
    <w:pPr>
      <w:widowControl w:val="0"/>
      <w:numPr>
        <w:numId w:val="11"/>
      </w:numPr>
      <w:overflowPunct w:val="0"/>
      <w:autoSpaceDE w:val="0"/>
      <w:spacing w:line="240" w:lineRule="auto"/>
      <w:textAlignment w:val="baseline"/>
    </w:pPr>
    <w:rPr>
      <w:color w:val="auto"/>
      <w:szCs w:val="20"/>
      <w:lang w:eastAsia="en-US"/>
    </w:rPr>
  </w:style>
  <w:style w:type="paragraph" w:customStyle="1" w:styleId="Heading">
    <w:name w:val="Heading"/>
    <w:basedOn w:val="Normal"/>
    <w:next w:val="Normal"/>
    <w:pPr>
      <w:keepNext/>
      <w:keepLines/>
      <w:widowControl w:val="0"/>
      <w:overflowPunct w:val="0"/>
      <w:autoSpaceDE w:val="0"/>
      <w:spacing w:before="240" w:line="240" w:lineRule="auto"/>
      <w:ind w:left="-720"/>
      <w:textAlignment w:val="baseline"/>
    </w:pPr>
    <w:rPr>
      <w:b/>
      <w:color w:val="auto"/>
      <w:szCs w:val="20"/>
      <w:lang w:eastAsia="en-US"/>
    </w:rPr>
  </w:style>
  <w:style w:type="paragraph" w:customStyle="1" w:styleId="MinuteTop">
    <w:name w:val="Minute Top"/>
    <w:basedOn w:val="Normal"/>
    <w:pPr>
      <w:widowControl w:val="0"/>
      <w:tabs>
        <w:tab w:val="left" w:pos="4680"/>
        <w:tab w:val="left" w:pos="5587"/>
      </w:tabs>
      <w:overflowPunct w:val="0"/>
      <w:autoSpaceDE w:val="0"/>
      <w:spacing w:after="0" w:line="240" w:lineRule="auto"/>
      <w:textAlignment w:val="baseline"/>
    </w:pPr>
    <w:rPr>
      <w:color w:val="auto"/>
      <w:szCs w:val="20"/>
      <w:lang w:eastAsia="en-US"/>
    </w:rPr>
  </w:style>
  <w:style w:type="paragraph" w:customStyle="1" w:styleId="Numbered">
    <w:name w:val="Numbered"/>
    <w:basedOn w:val="Normal"/>
    <w:pPr>
      <w:widowControl w:val="0"/>
      <w:overflowPunct w:val="0"/>
      <w:autoSpaceDE w:val="0"/>
      <w:spacing w:line="240" w:lineRule="auto"/>
      <w:textAlignment w:val="baseline"/>
    </w:pPr>
    <w:rPr>
      <w:color w:val="auto"/>
      <w:szCs w:val="20"/>
      <w:lang w:eastAsia="en-US"/>
    </w:rPr>
  </w:style>
  <w:style w:type="character" w:styleId="PageNumber">
    <w:name w:val="page number"/>
    <w:basedOn w:val="DefaultParagraphFont"/>
  </w:style>
  <w:style w:type="character" w:customStyle="1" w:styleId="PersonalComposeStyle">
    <w:name w:val="Personal Compose Style"/>
    <w:basedOn w:val="DefaultParagraphFont"/>
    <w:rPr>
      <w:rFonts w:ascii="Arial" w:hAnsi="Arial" w:cs="Arial"/>
      <w:color w:val="auto"/>
      <w:sz w:val="20"/>
    </w:rPr>
  </w:style>
  <w:style w:type="character" w:customStyle="1" w:styleId="PersonalReplyStyle">
    <w:name w:val="Personal Reply Style"/>
    <w:basedOn w:val="DefaultParagraphFont"/>
    <w:rPr>
      <w:rFonts w:ascii="Arial" w:hAnsi="Arial" w:cs="Arial"/>
      <w:color w:val="auto"/>
      <w:sz w:val="20"/>
    </w:rPr>
  </w:style>
  <w:style w:type="paragraph" w:customStyle="1" w:styleId="Sub-Heading">
    <w:name w:val="Sub-Heading"/>
    <w:basedOn w:val="Heading"/>
    <w:next w:val="Numbered"/>
    <w:pPr>
      <w:spacing w:before="0"/>
    </w:pPr>
  </w:style>
  <w:style w:type="paragraph" w:styleId="Subtitle">
    <w:name w:val="Subtitle"/>
    <w:basedOn w:val="Normal"/>
    <w:uiPriority w:val="11"/>
    <w:qFormat/>
    <w:pPr>
      <w:widowControl w:val="0"/>
      <w:overflowPunct w:val="0"/>
      <w:autoSpaceDE w:val="0"/>
      <w:spacing w:after="60" w:line="240" w:lineRule="auto"/>
      <w:jc w:val="center"/>
      <w:textAlignment w:val="baseline"/>
    </w:pPr>
    <w:rPr>
      <w:i/>
      <w:color w:val="auto"/>
      <w:szCs w:val="20"/>
      <w:lang w:eastAsia="en-US"/>
    </w:rPr>
  </w:style>
  <w:style w:type="character" w:customStyle="1" w:styleId="SubtitleChar">
    <w:name w:val="Subtitle Char"/>
    <w:basedOn w:val="DefaultParagraphFont"/>
    <w:rPr>
      <w:i/>
      <w:sz w:val="24"/>
      <w:lang w:eastAsia="en-US"/>
    </w:rPr>
  </w:style>
  <w:style w:type="paragraph" w:customStyle="1" w:styleId="DfESBullets">
    <w:name w:val="DfESBullets"/>
    <w:basedOn w:val="Normal"/>
    <w:pPr>
      <w:widowControl w:val="0"/>
      <w:numPr>
        <w:numId w:val="12"/>
      </w:numPr>
      <w:overflowPunct w:val="0"/>
      <w:autoSpaceDE w:val="0"/>
      <w:spacing w:line="240" w:lineRule="auto"/>
      <w:textAlignment w:val="baseline"/>
    </w:pPr>
    <w:rPr>
      <w:rFonts w:cs="Arial"/>
      <w:color w:val="auto"/>
      <w:sz w:val="22"/>
      <w:szCs w:val="20"/>
      <w:lang w:eastAsia="en-US"/>
    </w:rPr>
  </w:style>
  <w:style w:type="character" w:customStyle="1" w:styleId="UnresolvedMention1">
    <w:name w:val="Unresolved Mention1"/>
    <w:basedOn w:val="DefaultParagraphFont"/>
    <w:rPr>
      <w:color w:val="605E5C"/>
      <w:shd w:val="clear" w:color="auto" w:fill="E1DFDD"/>
    </w:rPr>
  </w:style>
  <w:style w:type="numbering" w:customStyle="1" w:styleId="WWOutlineListStyle">
    <w:name w:val="WW_OutlineListStyle"/>
    <w:basedOn w:val="NoList"/>
    <w:pPr>
      <w:numPr>
        <w:numId w:val="2"/>
      </w:numPr>
    </w:pPr>
  </w:style>
  <w:style w:type="numbering" w:customStyle="1" w:styleId="LFO3">
    <w:name w:val="LFO3"/>
    <w:basedOn w:val="NoList"/>
    <w:pPr>
      <w:numPr>
        <w:numId w:val="3"/>
      </w:numPr>
    </w:pPr>
  </w:style>
  <w:style w:type="numbering" w:customStyle="1" w:styleId="LFO4">
    <w:name w:val="LFO4"/>
    <w:basedOn w:val="NoList"/>
    <w:pPr>
      <w:numPr>
        <w:numId w:val="4"/>
      </w:numPr>
    </w:pPr>
  </w:style>
  <w:style w:type="numbering" w:customStyle="1" w:styleId="LFO6">
    <w:name w:val="LFO6"/>
    <w:basedOn w:val="NoList"/>
    <w:pPr>
      <w:numPr>
        <w:numId w:val="5"/>
      </w:numPr>
    </w:pPr>
  </w:style>
  <w:style w:type="numbering" w:customStyle="1" w:styleId="LFO9">
    <w:name w:val="LFO9"/>
    <w:basedOn w:val="NoList"/>
    <w:pPr>
      <w:numPr>
        <w:numId w:val="6"/>
      </w:numPr>
    </w:pPr>
  </w:style>
  <w:style w:type="numbering" w:customStyle="1" w:styleId="LFO10">
    <w:name w:val="LFO10"/>
    <w:basedOn w:val="NoList"/>
    <w:pPr>
      <w:numPr>
        <w:numId w:val="7"/>
      </w:numPr>
    </w:pPr>
  </w:style>
  <w:style w:type="numbering" w:customStyle="1" w:styleId="LFO25">
    <w:name w:val="LFO25"/>
    <w:basedOn w:val="NoList"/>
    <w:pPr>
      <w:numPr>
        <w:numId w:val="8"/>
      </w:numPr>
    </w:pPr>
  </w:style>
  <w:style w:type="numbering" w:customStyle="1" w:styleId="LFO28">
    <w:name w:val="LFO28"/>
    <w:basedOn w:val="NoList"/>
    <w:pPr>
      <w:numPr>
        <w:numId w:val="9"/>
      </w:numPr>
    </w:pPr>
  </w:style>
  <w:style w:type="numbering" w:customStyle="1" w:styleId="LFO30">
    <w:name w:val="LFO30"/>
    <w:basedOn w:val="NoList"/>
    <w:pPr>
      <w:numPr>
        <w:numId w:val="10"/>
      </w:numPr>
    </w:pPr>
  </w:style>
  <w:style w:type="numbering" w:customStyle="1" w:styleId="LFO34">
    <w:name w:val="LFO34"/>
    <w:basedOn w:val="NoList"/>
    <w:pPr>
      <w:numPr>
        <w:numId w:val="11"/>
      </w:numPr>
    </w:pPr>
  </w:style>
  <w:style w:type="numbering" w:customStyle="1" w:styleId="LFO36">
    <w:name w:val="LFO36"/>
    <w:basedOn w:val="NoList"/>
    <w:pPr>
      <w:numPr>
        <w:numId w:val="12"/>
      </w:numPr>
    </w:pPr>
  </w:style>
  <w:style w:type="paragraph" w:styleId="NoSpacing">
    <w:name w:val="No Spacing"/>
    <w:uiPriority w:val="1"/>
    <w:qFormat/>
    <w:rsid w:val="00B76DF9"/>
    <w:pPr>
      <w:suppressAutoHyphens/>
    </w:pPr>
    <w:rPr>
      <w:color w:val="0D0D0D"/>
      <w:sz w:val="24"/>
      <w:szCs w:val="24"/>
    </w:rPr>
  </w:style>
  <w:style w:type="character" w:styleId="UnresolvedMention">
    <w:name w:val="Unresolved Mention"/>
    <w:basedOn w:val="DefaultParagraphFont"/>
    <w:uiPriority w:val="99"/>
    <w:semiHidden/>
    <w:unhideWhenUsed/>
    <w:rsid w:val="0050066F"/>
    <w:rPr>
      <w:color w:val="605E5C"/>
      <w:shd w:val="clear" w:color="auto" w:fill="E1DFDD"/>
    </w:rPr>
  </w:style>
  <w:style w:type="paragraph" w:customStyle="1" w:styleId="nche1g0">
    <w:name w:val="___nche1g0"/>
    <w:basedOn w:val="Normal"/>
    <w:rsid w:val="002E37C3"/>
    <w:pPr>
      <w:suppressAutoHyphens w:val="0"/>
      <w:autoSpaceDN/>
      <w:spacing w:before="100" w:beforeAutospacing="1" w:after="100" w:afterAutospacing="1" w:line="240" w:lineRule="auto"/>
    </w:pPr>
    <w:rPr>
      <w:rFonts w:ascii="Times New Roman" w:hAnsi="Times New Roman"/>
      <w:color w:val="auto"/>
    </w:rPr>
  </w:style>
  <w:style w:type="character" w:styleId="Strong">
    <w:name w:val="Strong"/>
    <w:basedOn w:val="DefaultParagraphFont"/>
    <w:uiPriority w:val="22"/>
    <w:qFormat/>
    <w:rsid w:val="009840A5"/>
    <w:rPr>
      <w:b/>
      <w:bCs/>
    </w:rPr>
  </w:style>
  <w:style w:type="paragraph" w:styleId="NormalWeb">
    <w:name w:val="Normal (Web)"/>
    <w:basedOn w:val="Normal"/>
    <w:uiPriority w:val="99"/>
    <w:semiHidden/>
    <w:unhideWhenUsed/>
    <w:rsid w:val="00D22747"/>
    <w:pPr>
      <w:suppressAutoHyphens w:val="0"/>
      <w:autoSpaceDN/>
      <w:spacing w:before="100" w:beforeAutospacing="1" w:after="100" w:afterAutospacing="1" w:line="240" w:lineRule="auto"/>
    </w:pPr>
    <w:rPr>
      <w:rFonts w:ascii="Times New Roman" w:hAnsi="Times New Roman"/>
      <w:color w:val="auto"/>
    </w:rPr>
  </w:style>
  <w:style w:type="table" w:styleId="TableGrid">
    <w:name w:val="Table Grid"/>
    <w:basedOn w:val="TableNormal"/>
    <w:uiPriority w:val="39"/>
    <w:rsid w:val="00D227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42831">
      <w:bodyDiv w:val="1"/>
      <w:marLeft w:val="0"/>
      <w:marRight w:val="0"/>
      <w:marTop w:val="0"/>
      <w:marBottom w:val="0"/>
      <w:divBdr>
        <w:top w:val="none" w:sz="0" w:space="0" w:color="auto"/>
        <w:left w:val="none" w:sz="0" w:space="0" w:color="auto"/>
        <w:bottom w:val="none" w:sz="0" w:space="0" w:color="auto"/>
        <w:right w:val="none" w:sz="0" w:space="0" w:color="auto"/>
      </w:divBdr>
      <w:divsChild>
        <w:div w:id="818688827">
          <w:marLeft w:val="0"/>
          <w:marRight w:val="0"/>
          <w:marTop w:val="0"/>
          <w:marBottom w:val="0"/>
          <w:divBdr>
            <w:top w:val="none" w:sz="0" w:space="0" w:color="auto"/>
            <w:left w:val="none" w:sz="0" w:space="0" w:color="auto"/>
            <w:bottom w:val="none" w:sz="0" w:space="0" w:color="auto"/>
            <w:right w:val="none" w:sz="0" w:space="0" w:color="auto"/>
          </w:divBdr>
        </w:div>
      </w:divsChild>
    </w:div>
    <w:div w:id="41096377">
      <w:bodyDiv w:val="1"/>
      <w:marLeft w:val="0"/>
      <w:marRight w:val="0"/>
      <w:marTop w:val="0"/>
      <w:marBottom w:val="0"/>
      <w:divBdr>
        <w:top w:val="none" w:sz="0" w:space="0" w:color="auto"/>
        <w:left w:val="none" w:sz="0" w:space="0" w:color="auto"/>
        <w:bottom w:val="none" w:sz="0" w:space="0" w:color="auto"/>
        <w:right w:val="none" w:sz="0" w:space="0" w:color="auto"/>
      </w:divBdr>
      <w:divsChild>
        <w:div w:id="1176725858">
          <w:marLeft w:val="0"/>
          <w:marRight w:val="0"/>
          <w:marTop w:val="0"/>
          <w:marBottom w:val="0"/>
          <w:divBdr>
            <w:top w:val="none" w:sz="0" w:space="0" w:color="auto"/>
            <w:left w:val="none" w:sz="0" w:space="0" w:color="auto"/>
            <w:bottom w:val="none" w:sz="0" w:space="0" w:color="auto"/>
            <w:right w:val="none" w:sz="0" w:space="0" w:color="auto"/>
          </w:divBdr>
        </w:div>
      </w:divsChild>
    </w:div>
    <w:div w:id="54359492">
      <w:bodyDiv w:val="1"/>
      <w:marLeft w:val="0"/>
      <w:marRight w:val="0"/>
      <w:marTop w:val="0"/>
      <w:marBottom w:val="0"/>
      <w:divBdr>
        <w:top w:val="none" w:sz="0" w:space="0" w:color="auto"/>
        <w:left w:val="none" w:sz="0" w:space="0" w:color="auto"/>
        <w:bottom w:val="none" w:sz="0" w:space="0" w:color="auto"/>
        <w:right w:val="none" w:sz="0" w:space="0" w:color="auto"/>
      </w:divBdr>
      <w:divsChild>
        <w:div w:id="1223061272">
          <w:marLeft w:val="0"/>
          <w:marRight w:val="0"/>
          <w:marTop w:val="0"/>
          <w:marBottom w:val="0"/>
          <w:divBdr>
            <w:top w:val="none" w:sz="0" w:space="0" w:color="auto"/>
            <w:left w:val="none" w:sz="0" w:space="0" w:color="auto"/>
            <w:bottom w:val="none" w:sz="0" w:space="0" w:color="auto"/>
            <w:right w:val="none" w:sz="0" w:space="0" w:color="auto"/>
          </w:divBdr>
        </w:div>
      </w:divsChild>
    </w:div>
    <w:div w:id="167137025">
      <w:bodyDiv w:val="1"/>
      <w:marLeft w:val="0"/>
      <w:marRight w:val="0"/>
      <w:marTop w:val="0"/>
      <w:marBottom w:val="0"/>
      <w:divBdr>
        <w:top w:val="none" w:sz="0" w:space="0" w:color="auto"/>
        <w:left w:val="none" w:sz="0" w:space="0" w:color="auto"/>
        <w:bottom w:val="none" w:sz="0" w:space="0" w:color="auto"/>
        <w:right w:val="none" w:sz="0" w:space="0" w:color="auto"/>
      </w:divBdr>
    </w:div>
    <w:div w:id="179399888">
      <w:bodyDiv w:val="1"/>
      <w:marLeft w:val="0"/>
      <w:marRight w:val="0"/>
      <w:marTop w:val="0"/>
      <w:marBottom w:val="0"/>
      <w:divBdr>
        <w:top w:val="none" w:sz="0" w:space="0" w:color="auto"/>
        <w:left w:val="none" w:sz="0" w:space="0" w:color="auto"/>
        <w:bottom w:val="none" w:sz="0" w:space="0" w:color="auto"/>
        <w:right w:val="none" w:sz="0" w:space="0" w:color="auto"/>
      </w:divBdr>
      <w:divsChild>
        <w:div w:id="255404332">
          <w:marLeft w:val="0"/>
          <w:marRight w:val="0"/>
          <w:marTop w:val="0"/>
          <w:marBottom w:val="0"/>
          <w:divBdr>
            <w:top w:val="none" w:sz="0" w:space="0" w:color="auto"/>
            <w:left w:val="none" w:sz="0" w:space="0" w:color="auto"/>
            <w:bottom w:val="none" w:sz="0" w:space="0" w:color="auto"/>
            <w:right w:val="none" w:sz="0" w:space="0" w:color="auto"/>
          </w:divBdr>
        </w:div>
      </w:divsChild>
    </w:div>
    <w:div w:id="179662114">
      <w:bodyDiv w:val="1"/>
      <w:marLeft w:val="0"/>
      <w:marRight w:val="0"/>
      <w:marTop w:val="0"/>
      <w:marBottom w:val="0"/>
      <w:divBdr>
        <w:top w:val="none" w:sz="0" w:space="0" w:color="auto"/>
        <w:left w:val="none" w:sz="0" w:space="0" w:color="auto"/>
        <w:bottom w:val="none" w:sz="0" w:space="0" w:color="auto"/>
        <w:right w:val="none" w:sz="0" w:space="0" w:color="auto"/>
      </w:divBdr>
      <w:divsChild>
        <w:div w:id="1989674495">
          <w:marLeft w:val="0"/>
          <w:marRight w:val="0"/>
          <w:marTop w:val="0"/>
          <w:marBottom w:val="0"/>
          <w:divBdr>
            <w:top w:val="none" w:sz="0" w:space="0" w:color="auto"/>
            <w:left w:val="none" w:sz="0" w:space="0" w:color="auto"/>
            <w:bottom w:val="none" w:sz="0" w:space="0" w:color="auto"/>
            <w:right w:val="none" w:sz="0" w:space="0" w:color="auto"/>
          </w:divBdr>
        </w:div>
      </w:divsChild>
    </w:div>
    <w:div w:id="186136281">
      <w:bodyDiv w:val="1"/>
      <w:marLeft w:val="0"/>
      <w:marRight w:val="0"/>
      <w:marTop w:val="0"/>
      <w:marBottom w:val="0"/>
      <w:divBdr>
        <w:top w:val="none" w:sz="0" w:space="0" w:color="auto"/>
        <w:left w:val="none" w:sz="0" w:space="0" w:color="auto"/>
        <w:bottom w:val="none" w:sz="0" w:space="0" w:color="auto"/>
        <w:right w:val="none" w:sz="0" w:space="0" w:color="auto"/>
      </w:divBdr>
      <w:divsChild>
        <w:div w:id="1210267632">
          <w:marLeft w:val="0"/>
          <w:marRight w:val="0"/>
          <w:marTop w:val="0"/>
          <w:marBottom w:val="0"/>
          <w:divBdr>
            <w:top w:val="none" w:sz="0" w:space="0" w:color="auto"/>
            <w:left w:val="none" w:sz="0" w:space="0" w:color="auto"/>
            <w:bottom w:val="none" w:sz="0" w:space="0" w:color="auto"/>
            <w:right w:val="none" w:sz="0" w:space="0" w:color="auto"/>
          </w:divBdr>
        </w:div>
      </w:divsChild>
    </w:div>
    <w:div w:id="232160953">
      <w:bodyDiv w:val="1"/>
      <w:marLeft w:val="0"/>
      <w:marRight w:val="0"/>
      <w:marTop w:val="0"/>
      <w:marBottom w:val="0"/>
      <w:divBdr>
        <w:top w:val="none" w:sz="0" w:space="0" w:color="auto"/>
        <w:left w:val="none" w:sz="0" w:space="0" w:color="auto"/>
        <w:bottom w:val="none" w:sz="0" w:space="0" w:color="auto"/>
        <w:right w:val="none" w:sz="0" w:space="0" w:color="auto"/>
      </w:divBdr>
      <w:divsChild>
        <w:div w:id="363403696">
          <w:marLeft w:val="0"/>
          <w:marRight w:val="0"/>
          <w:marTop w:val="0"/>
          <w:marBottom w:val="0"/>
          <w:divBdr>
            <w:top w:val="none" w:sz="0" w:space="0" w:color="auto"/>
            <w:left w:val="none" w:sz="0" w:space="0" w:color="auto"/>
            <w:bottom w:val="none" w:sz="0" w:space="0" w:color="auto"/>
            <w:right w:val="none" w:sz="0" w:space="0" w:color="auto"/>
          </w:divBdr>
        </w:div>
      </w:divsChild>
    </w:div>
    <w:div w:id="268860101">
      <w:bodyDiv w:val="1"/>
      <w:marLeft w:val="0"/>
      <w:marRight w:val="0"/>
      <w:marTop w:val="0"/>
      <w:marBottom w:val="0"/>
      <w:divBdr>
        <w:top w:val="none" w:sz="0" w:space="0" w:color="auto"/>
        <w:left w:val="none" w:sz="0" w:space="0" w:color="auto"/>
        <w:bottom w:val="none" w:sz="0" w:space="0" w:color="auto"/>
        <w:right w:val="none" w:sz="0" w:space="0" w:color="auto"/>
      </w:divBdr>
      <w:divsChild>
        <w:div w:id="1296178388">
          <w:marLeft w:val="0"/>
          <w:marRight w:val="0"/>
          <w:marTop w:val="0"/>
          <w:marBottom w:val="0"/>
          <w:divBdr>
            <w:top w:val="none" w:sz="0" w:space="0" w:color="auto"/>
            <w:left w:val="none" w:sz="0" w:space="0" w:color="auto"/>
            <w:bottom w:val="none" w:sz="0" w:space="0" w:color="auto"/>
            <w:right w:val="none" w:sz="0" w:space="0" w:color="auto"/>
          </w:divBdr>
        </w:div>
      </w:divsChild>
    </w:div>
    <w:div w:id="269821575">
      <w:bodyDiv w:val="1"/>
      <w:marLeft w:val="0"/>
      <w:marRight w:val="0"/>
      <w:marTop w:val="0"/>
      <w:marBottom w:val="0"/>
      <w:divBdr>
        <w:top w:val="none" w:sz="0" w:space="0" w:color="auto"/>
        <w:left w:val="none" w:sz="0" w:space="0" w:color="auto"/>
        <w:bottom w:val="none" w:sz="0" w:space="0" w:color="auto"/>
        <w:right w:val="none" w:sz="0" w:space="0" w:color="auto"/>
      </w:divBdr>
      <w:divsChild>
        <w:div w:id="1552377747">
          <w:marLeft w:val="0"/>
          <w:marRight w:val="0"/>
          <w:marTop w:val="0"/>
          <w:marBottom w:val="0"/>
          <w:divBdr>
            <w:top w:val="none" w:sz="0" w:space="0" w:color="auto"/>
            <w:left w:val="none" w:sz="0" w:space="0" w:color="auto"/>
            <w:bottom w:val="none" w:sz="0" w:space="0" w:color="auto"/>
            <w:right w:val="none" w:sz="0" w:space="0" w:color="auto"/>
          </w:divBdr>
        </w:div>
      </w:divsChild>
    </w:div>
    <w:div w:id="298806884">
      <w:bodyDiv w:val="1"/>
      <w:marLeft w:val="0"/>
      <w:marRight w:val="0"/>
      <w:marTop w:val="0"/>
      <w:marBottom w:val="0"/>
      <w:divBdr>
        <w:top w:val="none" w:sz="0" w:space="0" w:color="auto"/>
        <w:left w:val="none" w:sz="0" w:space="0" w:color="auto"/>
        <w:bottom w:val="none" w:sz="0" w:space="0" w:color="auto"/>
        <w:right w:val="none" w:sz="0" w:space="0" w:color="auto"/>
      </w:divBdr>
      <w:divsChild>
        <w:div w:id="1528063140">
          <w:marLeft w:val="0"/>
          <w:marRight w:val="0"/>
          <w:marTop w:val="0"/>
          <w:marBottom w:val="0"/>
          <w:divBdr>
            <w:top w:val="none" w:sz="0" w:space="0" w:color="auto"/>
            <w:left w:val="none" w:sz="0" w:space="0" w:color="auto"/>
            <w:bottom w:val="none" w:sz="0" w:space="0" w:color="auto"/>
            <w:right w:val="none" w:sz="0" w:space="0" w:color="auto"/>
          </w:divBdr>
        </w:div>
      </w:divsChild>
    </w:div>
    <w:div w:id="299001414">
      <w:bodyDiv w:val="1"/>
      <w:marLeft w:val="0"/>
      <w:marRight w:val="0"/>
      <w:marTop w:val="0"/>
      <w:marBottom w:val="0"/>
      <w:divBdr>
        <w:top w:val="none" w:sz="0" w:space="0" w:color="auto"/>
        <w:left w:val="none" w:sz="0" w:space="0" w:color="auto"/>
        <w:bottom w:val="none" w:sz="0" w:space="0" w:color="auto"/>
        <w:right w:val="none" w:sz="0" w:space="0" w:color="auto"/>
      </w:divBdr>
    </w:div>
    <w:div w:id="314841145">
      <w:bodyDiv w:val="1"/>
      <w:marLeft w:val="0"/>
      <w:marRight w:val="0"/>
      <w:marTop w:val="0"/>
      <w:marBottom w:val="0"/>
      <w:divBdr>
        <w:top w:val="none" w:sz="0" w:space="0" w:color="auto"/>
        <w:left w:val="none" w:sz="0" w:space="0" w:color="auto"/>
        <w:bottom w:val="none" w:sz="0" w:space="0" w:color="auto"/>
        <w:right w:val="none" w:sz="0" w:space="0" w:color="auto"/>
      </w:divBdr>
      <w:divsChild>
        <w:div w:id="1416437592">
          <w:marLeft w:val="0"/>
          <w:marRight w:val="0"/>
          <w:marTop w:val="0"/>
          <w:marBottom w:val="0"/>
          <w:divBdr>
            <w:top w:val="none" w:sz="0" w:space="0" w:color="auto"/>
            <w:left w:val="none" w:sz="0" w:space="0" w:color="auto"/>
            <w:bottom w:val="none" w:sz="0" w:space="0" w:color="auto"/>
            <w:right w:val="none" w:sz="0" w:space="0" w:color="auto"/>
          </w:divBdr>
        </w:div>
      </w:divsChild>
    </w:div>
    <w:div w:id="462234313">
      <w:bodyDiv w:val="1"/>
      <w:marLeft w:val="0"/>
      <w:marRight w:val="0"/>
      <w:marTop w:val="0"/>
      <w:marBottom w:val="0"/>
      <w:divBdr>
        <w:top w:val="none" w:sz="0" w:space="0" w:color="auto"/>
        <w:left w:val="none" w:sz="0" w:space="0" w:color="auto"/>
        <w:bottom w:val="none" w:sz="0" w:space="0" w:color="auto"/>
        <w:right w:val="none" w:sz="0" w:space="0" w:color="auto"/>
      </w:divBdr>
      <w:divsChild>
        <w:div w:id="518348170">
          <w:marLeft w:val="0"/>
          <w:marRight w:val="0"/>
          <w:marTop w:val="0"/>
          <w:marBottom w:val="0"/>
          <w:divBdr>
            <w:top w:val="none" w:sz="0" w:space="0" w:color="auto"/>
            <w:left w:val="none" w:sz="0" w:space="0" w:color="auto"/>
            <w:bottom w:val="none" w:sz="0" w:space="0" w:color="auto"/>
            <w:right w:val="none" w:sz="0" w:space="0" w:color="auto"/>
          </w:divBdr>
        </w:div>
      </w:divsChild>
    </w:div>
    <w:div w:id="485053263">
      <w:bodyDiv w:val="1"/>
      <w:marLeft w:val="0"/>
      <w:marRight w:val="0"/>
      <w:marTop w:val="0"/>
      <w:marBottom w:val="0"/>
      <w:divBdr>
        <w:top w:val="none" w:sz="0" w:space="0" w:color="auto"/>
        <w:left w:val="none" w:sz="0" w:space="0" w:color="auto"/>
        <w:bottom w:val="none" w:sz="0" w:space="0" w:color="auto"/>
        <w:right w:val="none" w:sz="0" w:space="0" w:color="auto"/>
      </w:divBdr>
      <w:divsChild>
        <w:div w:id="1653025455">
          <w:marLeft w:val="0"/>
          <w:marRight w:val="0"/>
          <w:marTop w:val="0"/>
          <w:marBottom w:val="0"/>
          <w:divBdr>
            <w:top w:val="none" w:sz="0" w:space="0" w:color="auto"/>
            <w:left w:val="none" w:sz="0" w:space="0" w:color="auto"/>
            <w:bottom w:val="none" w:sz="0" w:space="0" w:color="auto"/>
            <w:right w:val="none" w:sz="0" w:space="0" w:color="auto"/>
          </w:divBdr>
        </w:div>
      </w:divsChild>
    </w:div>
    <w:div w:id="524445511">
      <w:bodyDiv w:val="1"/>
      <w:marLeft w:val="0"/>
      <w:marRight w:val="0"/>
      <w:marTop w:val="0"/>
      <w:marBottom w:val="0"/>
      <w:divBdr>
        <w:top w:val="none" w:sz="0" w:space="0" w:color="auto"/>
        <w:left w:val="none" w:sz="0" w:space="0" w:color="auto"/>
        <w:bottom w:val="none" w:sz="0" w:space="0" w:color="auto"/>
        <w:right w:val="none" w:sz="0" w:space="0" w:color="auto"/>
      </w:divBdr>
    </w:div>
    <w:div w:id="543828178">
      <w:bodyDiv w:val="1"/>
      <w:marLeft w:val="0"/>
      <w:marRight w:val="0"/>
      <w:marTop w:val="0"/>
      <w:marBottom w:val="0"/>
      <w:divBdr>
        <w:top w:val="none" w:sz="0" w:space="0" w:color="auto"/>
        <w:left w:val="none" w:sz="0" w:space="0" w:color="auto"/>
        <w:bottom w:val="none" w:sz="0" w:space="0" w:color="auto"/>
        <w:right w:val="none" w:sz="0" w:space="0" w:color="auto"/>
      </w:divBdr>
    </w:div>
    <w:div w:id="547380454">
      <w:bodyDiv w:val="1"/>
      <w:marLeft w:val="0"/>
      <w:marRight w:val="0"/>
      <w:marTop w:val="0"/>
      <w:marBottom w:val="0"/>
      <w:divBdr>
        <w:top w:val="none" w:sz="0" w:space="0" w:color="auto"/>
        <w:left w:val="none" w:sz="0" w:space="0" w:color="auto"/>
        <w:bottom w:val="none" w:sz="0" w:space="0" w:color="auto"/>
        <w:right w:val="none" w:sz="0" w:space="0" w:color="auto"/>
      </w:divBdr>
      <w:divsChild>
        <w:div w:id="1639186693">
          <w:marLeft w:val="0"/>
          <w:marRight w:val="0"/>
          <w:marTop w:val="0"/>
          <w:marBottom w:val="0"/>
          <w:divBdr>
            <w:top w:val="none" w:sz="0" w:space="0" w:color="auto"/>
            <w:left w:val="none" w:sz="0" w:space="0" w:color="auto"/>
            <w:bottom w:val="none" w:sz="0" w:space="0" w:color="auto"/>
            <w:right w:val="none" w:sz="0" w:space="0" w:color="auto"/>
          </w:divBdr>
        </w:div>
      </w:divsChild>
    </w:div>
    <w:div w:id="548763865">
      <w:bodyDiv w:val="1"/>
      <w:marLeft w:val="0"/>
      <w:marRight w:val="0"/>
      <w:marTop w:val="0"/>
      <w:marBottom w:val="0"/>
      <w:divBdr>
        <w:top w:val="none" w:sz="0" w:space="0" w:color="auto"/>
        <w:left w:val="none" w:sz="0" w:space="0" w:color="auto"/>
        <w:bottom w:val="none" w:sz="0" w:space="0" w:color="auto"/>
        <w:right w:val="none" w:sz="0" w:space="0" w:color="auto"/>
      </w:divBdr>
      <w:divsChild>
        <w:div w:id="1865362823">
          <w:marLeft w:val="0"/>
          <w:marRight w:val="0"/>
          <w:marTop w:val="0"/>
          <w:marBottom w:val="0"/>
          <w:divBdr>
            <w:top w:val="none" w:sz="0" w:space="0" w:color="auto"/>
            <w:left w:val="none" w:sz="0" w:space="0" w:color="auto"/>
            <w:bottom w:val="none" w:sz="0" w:space="0" w:color="auto"/>
            <w:right w:val="none" w:sz="0" w:space="0" w:color="auto"/>
          </w:divBdr>
        </w:div>
      </w:divsChild>
    </w:div>
    <w:div w:id="587037108">
      <w:bodyDiv w:val="1"/>
      <w:marLeft w:val="0"/>
      <w:marRight w:val="0"/>
      <w:marTop w:val="0"/>
      <w:marBottom w:val="0"/>
      <w:divBdr>
        <w:top w:val="none" w:sz="0" w:space="0" w:color="auto"/>
        <w:left w:val="none" w:sz="0" w:space="0" w:color="auto"/>
        <w:bottom w:val="none" w:sz="0" w:space="0" w:color="auto"/>
        <w:right w:val="none" w:sz="0" w:space="0" w:color="auto"/>
      </w:divBdr>
      <w:divsChild>
        <w:div w:id="382681687">
          <w:marLeft w:val="0"/>
          <w:marRight w:val="0"/>
          <w:marTop w:val="0"/>
          <w:marBottom w:val="0"/>
          <w:divBdr>
            <w:top w:val="none" w:sz="0" w:space="0" w:color="auto"/>
            <w:left w:val="none" w:sz="0" w:space="0" w:color="auto"/>
            <w:bottom w:val="none" w:sz="0" w:space="0" w:color="auto"/>
            <w:right w:val="none" w:sz="0" w:space="0" w:color="auto"/>
          </w:divBdr>
        </w:div>
      </w:divsChild>
    </w:div>
    <w:div w:id="616445610">
      <w:bodyDiv w:val="1"/>
      <w:marLeft w:val="0"/>
      <w:marRight w:val="0"/>
      <w:marTop w:val="0"/>
      <w:marBottom w:val="0"/>
      <w:divBdr>
        <w:top w:val="none" w:sz="0" w:space="0" w:color="auto"/>
        <w:left w:val="none" w:sz="0" w:space="0" w:color="auto"/>
        <w:bottom w:val="none" w:sz="0" w:space="0" w:color="auto"/>
        <w:right w:val="none" w:sz="0" w:space="0" w:color="auto"/>
      </w:divBdr>
      <w:divsChild>
        <w:div w:id="2109307677">
          <w:marLeft w:val="0"/>
          <w:marRight w:val="0"/>
          <w:marTop w:val="0"/>
          <w:marBottom w:val="0"/>
          <w:divBdr>
            <w:top w:val="none" w:sz="0" w:space="0" w:color="auto"/>
            <w:left w:val="none" w:sz="0" w:space="0" w:color="auto"/>
            <w:bottom w:val="none" w:sz="0" w:space="0" w:color="auto"/>
            <w:right w:val="none" w:sz="0" w:space="0" w:color="auto"/>
          </w:divBdr>
          <w:divsChild>
            <w:div w:id="1282375094">
              <w:marLeft w:val="0"/>
              <w:marRight w:val="0"/>
              <w:marTop w:val="0"/>
              <w:marBottom w:val="0"/>
              <w:divBdr>
                <w:top w:val="none" w:sz="0" w:space="0" w:color="auto"/>
                <w:left w:val="none" w:sz="0" w:space="0" w:color="auto"/>
                <w:bottom w:val="none" w:sz="0" w:space="0" w:color="auto"/>
                <w:right w:val="none" w:sz="0" w:space="0" w:color="auto"/>
              </w:divBdr>
            </w:div>
            <w:div w:id="1824540400">
              <w:marLeft w:val="0"/>
              <w:marRight w:val="0"/>
              <w:marTop w:val="0"/>
              <w:marBottom w:val="0"/>
              <w:divBdr>
                <w:top w:val="none" w:sz="0" w:space="0" w:color="auto"/>
                <w:left w:val="none" w:sz="0" w:space="0" w:color="auto"/>
                <w:bottom w:val="none" w:sz="0" w:space="0" w:color="auto"/>
                <w:right w:val="none" w:sz="0" w:space="0" w:color="auto"/>
              </w:divBdr>
            </w:div>
            <w:div w:id="232816594">
              <w:marLeft w:val="0"/>
              <w:marRight w:val="0"/>
              <w:marTop w:val="0"/>
              <w:marBottom w:val="0"/>
              <w:divBdr>
                <w:top w:val="none" w:sz="0" w:space="0" w:color="auto"/>
                <w:left w:val="none" w:sz="0" w:space="0" w:color="auto"/>
                <w:bottom w:val="none" w:sz="0" w:space="0" w:color="auto"/>
                <w:right w:val="none" w:sz="0" w:space="0" w:color="auto"/>
              </w:divBdr>
            </w:div>
            <w:div w:id="645621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4023130">
      <w:bodyDiv w:val="1"/>
      <w:marLeft w:val="0"/>
      <w:marRight w:val="0"/>
      <w:marTop w:val="0"/>
      <w:marBottom w:val="0"/>
      <w:divBdr>
        <w:top w:val="none" w:sz="0" w:space="0" w:color="auto"/>
        <w:left w:val="none" w:sz="0" w:space="0" w:color="auto"/>
        <w:bottom w:val="none" w:sz="0" w:space="0" w:color="auto"/>
        <w:right w:val="none" w:sz="0" w:space="0" w:color="auto"/>
      </w:divBdr>
      <w:divsChild>
        <w:div w:id="1310748424">
          <w:marLeft w:val="0"/>
          <w:marRight w:val="0"/>
          <w:marTop w:val="0"/>
          <w:marBottom w:val="0"/>
          <w:divBdr>
            <w:top w:val="none" w:sz="0" w:space="0" w:color="auto"/>
            <w:left w:val="none" w:sz="0" w:space="0" w:color="auto"/>
            <w:bottom w:val="none" w:sz="0" w:space="0" w:color="auto"/>
            <w:right w:val="none" w:sz="0" w:space="0" w:color="auto"/>
          </w:divBdr>
        </w:div>
      </w:divsChild>
    </w:div>
    <w:div w:id="656687549">
      <w:bodyDiv w:val="1"/>
      <w:marLeft w:val="0"/>
      <w:marRight w:val="0"/>
      <w:marTop w:val="0"/>
      <w:marBottom w:val="0"/>
      <w:divBdr>
        <w:top w:val="none" w:sz="0" w:space="0" w:color="auto"/>
        <w:left w:val="none" w:sz="0" w:space="0" w:color="auto"/>
        <w:bottom w:val="none" w:sz="0" w:space="0" w:color="auto"/>
        <w:right w:val="none" w:sz="0" w:space="0" w:color="auto"/>
      </w:divBdr>
      <w:divsChild>
        <w:div w:id="2100982690">
          <w:marLeft w:val="0"/>
          <w:marRight w:val="0"/>
          <w:marTop w:val="0"/>
          <w:marBottom w:val="0"/>
          <w:divBdr>
            <w:top w:val="none" w:sz="0" w:space="0" w:color="auto"/>
            <w:left w:val="none" w:sz="0" w:space="0" w:color="auto"/>
            <w:bottom w:val="none" w:sz="0" w:space="0" w:color="auto"/>
            <w:right w:val="none" w:sz="0" w:space="0" w:color="auto"/>
          </w:divBdr>
        </w:div>
      </w:divsChild>
    </w:div>
    <w:div w:id="672493432">
      <w:bodyDiv w:val="1"/>
      <w:marLeft w:val="0"/>
      <w:marRight w:val="0"/>
      <w:marTop w:val="0"/>
      <w:marBottom w:val="0"/>
      <w:divBdr>
        <w:top w:val="none" w:sz="0" w:space="0" w:color="auto"/>
        <w:left w:val="none" w:sz="0" w:space="0" w:color="auto"/>
        <w:bottom w:val="none" w:sz="0" w:space="0" w:color="auto"/>
        <w:right w:val="none" w:sz="0" w:space="0" w:color="auto"/>
      </w:divBdr>
      <w:divsChild>
        <w:div w:id="133642418">
          <w:marLeft w:val="0"/>
          <w:marRight w:val="0"/>
          <w:marTop w:val="0"/>
          <w:marBottom w:val="0"/>
          <w:divBdr>
            <w:top w:val="none" w:sz="0" w:space="0" w:color="auto"/>
            <w:left w:val="none" w:sz="0" w:space="0" w:color="auto"/>
            <w:bottom w:val="none" w:sz="0" w:space="0" w:color="auto"/>
            <w:right w:val="none" w:sz="0" w:space="0" w:color="auto"/>
          </w:divBdr>
        </w:div>
      </w:divsChild>
    </w:div>
    <w:div w:id="709183758">
      <w:bodyDiv w:val="1"/>
      <w:marLeft w:val="0"/>
      <w:marRight w:val="0"/>
      <w:marTop w:val="0"/>
      <w:marBottom w:val="0"/>
      <w:divBdr>
        <w:top w:val="none" w:sz="0" w:space="0" w:color="auto"/>
        <w:left w:val="none" w:sz="0" w:space="0" w:color="auto"/>
        <w:bottom w:val="none" w:sz="0" w:space="0" w:color="auto"/>
        <w:right w:val="none" w:sz="0" w:space="0" w:color="auto"/>
      </w:divBdr>
      <w:divsChild>
        <w:div w:id="1497919954">
          <w:marLeft w:val="0"/>
          <w:marRight w:val="0"/>
          <w:marTop w:val="0"/>
          <w:marBottom w:val="0"/>
          <w:divBdr>
            <w:top w:val="none" w:sz="0" w:space="0" w:color="auto"/>
            <w:left w:val="none" w:sz="0" w:space="0" w:color="auto"/>
            <w:bottom w:val="none" w:sz="0" w:space="0" w:color="auto"/>
            <w:right w:val="none" w:sz="0" w:space="0" w:color="auto"/>
          </w:divBdr>
        </w:div>
      </w:divsChild>
    </w:div>
    <w:div w:id="711926178">
      <w:bodyDiv w:val="1"/>
      <w:marLeft w:val="0"/>
      <w:marRight w:val="0"/>
      <w:marTop w:val="0"/>
      <w:marBottom w:val="0"/>
      <w:divBdr>
        <w:top w:val="none" w:sz="0" w:space="0" w:color="auto"/>
        <w:left w:val="none" w:sz="0" w:space="0" w:color="auto"/>
        <w:bottom w:val="none" w:sz="0" w:space="0" w:color="auto"/>
        <w:right w:val="none" w:sz="0" w:space="0" w:color="auto"/>
      </w:divBdr>
    </w:div>
    <w:div w:id="756709227">
      <w:bodyDiv w:val="1"/>
      <w:marLeft w:val="0"/>
      <w:marRight w:val="0"/>
      <w:marTop w:val="0"/>
      <w:marBottom w:val="0"/>
      <w:divBdr>
        <w:top w:val="none" w:sz="0" w:space="0" w:color="auto"/>
        <w:left w:val="none" w:sz="0" w:space="0" w:color="auto"/>
        <w:bottom w:val="none" w:sz="0" w:space="0" w:color="auto"/>
        <w:right w:val="none" w:sz="0" w:space="0" w:color="auto"/>
      </w:divBdr>
    </w:div>
    <w:div w:id="839008522">
      <w:bodyDiv w:val="1"/>
      <w:marLeft w:val="0"/>
      <w:marRight w:val="0"/>
      <w:marTop w:val="0"/>
      <w:marBottom w:val="0"/>
      <w:divBdr>
        <w:top w:val="none" w:sz="0" w:space="0" w:color="auto"/>
        <w:left w:val="none" w:sz="0" w:space="0" w:color="auto"/>
        <w:bottom w:val="none" w:sz="0" w:space="0" w:color="auto"/>
        <w:right w:val="none" w:sz="0" w:space="0" w:color="auto"/>
      </w:divBdr>
      <w:divsChild>
        <w:div w:id="614410234">
          <w:marLeft w:val="0"/>
          <w:marRight w:val="0"/>
          <w:marTop w:val="0"/>
          <w:marBottom w:val="0"/>
          <w:divBdr>
            <w:top w:val="none" w:sz="0" w:space="0" w:color="auto"/>
            <w:left w:val="none" w:sz="0" w:space="0" w:color="auto"/>
            <w:bottom w:val="none" w:sz="0" w:space="0" w:color="auto"/>
            <w:right w:val="none" w:sz="0" w:space="0" w:color="auto"/>
          </w:divBdr>
        </w:div>
      </w:divsChild>
    </w:div>
    <w:div w:id="924266440">
      <w:bodyDiv w:val="1"/>
      <w:marLeft w:val="0"/>
      <w:marRight w:val="0"/>
      <w:marTop w:val="0"/>
      <w:marBottom w:val="0"/>
      <w:divBdr>
        <w:top w:val="none" w:sz="0" w:space="0" w:color="auto"/>
        <w:left w:val="none" w:sz="0" w:space="0" w:color="auto"/>
        <w:bottom w:val="none" w:sz="0" w:space="0" w:color="auto"/>
        <w:right w:val="none" w:sz="0" w:space="0" w:color="auto"/>
      </w:divBdr>
      <w:divsChild>
        <w:div w:id="556207173">
          <w:marLeft w:val="0"/>
          <w:marRight w:val="0"/>
          <w:marTop w:val="0"/>
          <w:marBottom w:val="0"/>
          <w:divBdr>
            <w:top w:val="none" w:sz="0" w:space="0" w:color="auto"/>
            <w:left w:val="none" w:sz="0" w:space="0" w:color="auto"/>
            <w:bottom w:val="none" w:sz="0" w:space="0" w:color="auto"/>
            <w:right w:val="none" w:sz="0" w:space="0" w:color="auto"/>
          </w:divBdr>
        </w:div>
      </w:divsChild>
    </w:div>
    <w:div w:id="969287349">
      <w:bodyDiv w:val="1"/>
      <w:marLeft w:val="0"/>
      <w:marRight w:val="0"/>
      <w:marTop w:val="0"/>
      <w:marBottom w:val="0"/>
      <w:divBdr>
        <w:top w:val="none" w:sz="0" w:space="0" w:color="auto"/>
        <w:left w:val="none" w:sz="0" w:space="0" w:color="auto"/>
        <w:bottom w:val="none" w:sz="0" w:space="0" w:color="auto"/>
        <w:right w:val="none" w:sz="0" w:space="0" w:color="auto"/>
      </w:divBdr>
      <w:divsChild>
        <w:div w:id="2133210868">
          <w:marLeft w:val="0"/>
          <w:marRight w:val="0"/>
          <w:marTop w:val="0"/>
          <w:marBottom w:val="0"/>
          <w:divBdr>
            <w:top w:val="none" w:sz="0" w:space="0" w:color="auto"/>
            <w:left w:val="none" w:sz="0" w:space="0" w:color="auto"/>
            <w:bottom w:val="none" w:sz="0" w:space="0" w:color="auto"/>
            <w:right w:val="none" w:sz="0" w:space="0" w:color="auto"/>
          </w:divBdr>
        </w:div>
      </w:divsChild>
    </w:div>
    <w:div w:id="993292237">
      <w:bodyDiv w:val="1"/>
      <w:marLeft w:val="0"/>
      <w:marRight w:val="0"/>
      <w:marTop w:val="0"/>
      <w:marBottom w:val="0"/>
      <w:divBdr>
        <w:top w:val="none" w:sz="0" w:space="0" w:color="auto"/>
        <w:left w:val="none" w:sz="0" w:space="0" w:color="auto"/>
        <w:bottom w:val="none" w:sz="0" w:space="0" w:color="auto"/>
        <w:right w:val="none" w:sz="0" w:space="0" w:color="auto"/>
      </w:divBdr>
    </w:div>
    <w:div w:id="1073888285">
      <w:bodyDiv w:val="1"/>
      <w:marLeft w:val="0"/>
      <w:marRight w:val="0"/>
      <w:marTop w:val="0"/>
      <w:marBottom w:val="0"/>
      <w:divBdr>
        <w:top w:val="none" w:sz="0" w:space="0" w:color="auto"/>
        <w:left w:val="none" w:sz="0" w:space="0" w:color="auto"/>
        <w:bottom w:val="none" w:sz="0" w:space="0" w:color="auto"/>
        <w:right w:val="none" w:sz="0" w:space="0" w:color="auto"/>
      </w:divBdr>
      <w:divsChild>
        <w:div w:id="1314985944">
          <w:marLeft w:val="0"/>
          <w:marRight w:val="0"/>
          <w:marTop w:val="0"/>
          <w:marBottom w:val="0"/>
          <w:divBdr>
            <w:top w:val="none" w:sz="0" w:space="0" w:color="auto"/>
            <w:left w:val="none" w:sz="0" w:space="0" w:color="auto"/>
            <w:bottom w:val="none" w:sz="0" w:space="0" w:color="auto"/>
            <w:right w:val="none" w:sz="0" w:space="0" w:color="auto"/>
          </w:divBdr>
        </w:div>
      </w:divsChild>
    </w:div>
    <w:div w:id="1114668769">
      <w:bodyDiv w:val="1"/>
      <w:marLeft w:val="0"/>
      <w:marRight w:val="0"/>
      <w:marTop w:val="0"/>
      <w:marBottom w:val="0"/>
      <w:divBdr>
        <w:top w:val="none" w:sz="0" w:space="0" w:color="auto"/>
        <w:left w:val="none" w:sz="0" w:space="0" w:color="auto"/>
        <w:bottom w:val="none" w:sz="0" w:space="0" w:color="auto"/>
        <w:right w:val="none" w:sz="0" w:space="0" w:color="auto"/>
      </w:divBdr>
      <w:divsChild>
        <w:div w:id="1855069091">
          <w:marLeft w:val="0"/>
          <w:marRight w:val="0"/>
          <w:marTop w:val="0"/>
          <w:marBottom w:val="0"/>
          <w:divBdr>
            <w:top w:val="none" w:sz="0" w:space="0" w:color="auto"/>
            <w:left w:val="none" w:sz="0" w:space="0" w:color="auto"/>
            <w:bottom w:val="none" w:sz="0" w:space="0" w:color="auto"/>
            <w:right w:val="none" w:sz="0" w:space="0" w:color="auto"/>
          </w:divBdr>
        </w:div>
      </w:divsChild>
    </w:div>
    <w:div w:id="1130391965">
      <w:bodyDiv w:val="1"/>
      <w:marLeft w:val="0"/>
      <w:marRight w:val="0"/>
      <w:marTop w:val="0"/>
      <w:marBottom w:val="0"/>
      <w:divBdr>
        <w:top w:val="none" w:sz="0" w:space="0" w:color="auto"/>
        <w:left w:val="none" w:sz="0" w:space="0" w:color="auto"/>
        <w:bottom w:val="none" w:sz="0" w:space="0" w:color="auto"/>
        <w:right w:val="none" w:sz="0" w:space="0" w:color="auto"/>
      </w:divBdr>
    </w:div>
    <w:div w:id="1143962369">
      <w:bodyDiv w:val="1"/>
      <w:marLeft w:val="0"/>
      <w:marRight w:val="0"/>
      <w:marTop w:val="0"/>
      <w:marBottom w:val="0"/>
      <w:divBdr>
        <w:top w:val="none" w:sz="0" w:space="0" w:color="auto"/>
        <w:left w:val="none" w:sz="0" w:space="0" w:color="auto"/>
        <w:bottom w:val="none" w:sz="0" w:space="0" w:color="auto"/>
        <w:right w:val="none" w:sz="0" w:space="0" w:color="auto"/>
      </w:divBdr>
      <w:divsChild>
        <w:div w:id="264264475">
          <w:marLeft w:val="0"/>
          <w:marRight w:val="0"/>
          <w:marTop w:val="0"/>
          <w:marBottom w:val="0"/>
          <w:divBdr>
            <w:top w:val="none" w:sz="0" w:space="0" w:color="auto"/>
            <w:left w:val="none" w:sz="0" w:space="0" w:color="auto"/>
            <w:bottom w:val="none" w:sz="0" w:space="0" w:color="auto"/>
            <w:right w:val="none" w:sz="0" w:space="0" w:color="auto"/>
          </w:divBdr>
        </w:div>
      </w:divsChild>
    </w:div>
    <w:div w:id="1170099412">
      <w:bodyDiv w:val="1"/>
      <w:marLeft w:val="0"/>
      <w:marRight w:val="0"/>
      <w:marTop w:val="0"/>
      <w:marBottom w:val="0"/>
      <w:divBdr>
        <w:top w:val="none" w:sz="0" w:space="0" w:color="auto"/>
        <w:left w:val="none" w:sz="0" w:space="0" w:color="auto"/>
        <w:bottom w:val="none" w:sz="0" w:space="0" w:color="auto"/>
        <w:right w:val="none" w:sz="0" w:space="0" w:color="auto"/>
      </w:divBdr>
      <w:divsChild>
        <w:div w:id="322050318">
          <w:marLeft w:val="0"/>
          <w:marRight w:val="0"/>
          <w:marTop w:val="0"/>
          <w:marBottom w:val="0"/>
          <w:divBdr>
            <w:top w:val="none" w:sz="0" w:space="0" w:color="auto"/>
            <w:left w:val="none" w:sz="0" w:space="0" w:color="auto"/>
            <w:bottom w:val="none" w:sz="0" w:space="0" w:color="auto"/>
            <w:right w:val="none" w:sz="0" w:space="0" w:color="auto"/>
          </w:divBdr>
        </w:div>
      </w:divsChild>
    </w:div>
    <w:div w:id="1194537526">
      <w:bodyDiv w:val="1"/>
      <w:marLeft w:val="0"/>
      <w:marRight w:val="0"/>
      <w:marTop w:val="0"/>
      <w:marBottom w:val="0"/>
      <w:divBdr>
        <w:top w:val="none" w:sz="0" w:space="0" w:color="auto"/>
        <w:left w:val="none" w:sz="0" w:space="0" w:color="auto"/>
        <w:bottom w:val="none" w:sz="0" w:space="0" w:color="auto"/>
        <w:right w:val="none" w:sz="0" w:space="0" w:color="auto"/>
      </w:divBdr>
      <w:divsChild>
        <w:div w:id="1271359083">
          <w:marLeft w:val="0"/>
          <w:marRight w:val="0"/>
          <w:marTop w:val="0"/>
          <w:marBottom w:val="0"/>
          <w:divBdr>
            <w:top w:val="none" w:sz="0" w:space="0" w:color="auto"/>
            <w:left w:val="none" w:sz="0" w:space="0" w:color="auto"/>
            <w:bottom w:val="none" w:sz="0" w:space="0" w:color="auto"/>
            <w:right w:val="none" w:sz="0" w:space="0" w:color="auto"/>
          </w:divBdr>
        </w:div>
      </w:divsChild>
    </w:div>
    <w:div w:id="1351643413">
      <w:bodyDiv w:val="1"/>
      <w:marLeft w:val="0"/>
      <w:marRight w:val="0"/>
      <w:marTop w:val="0"/>
      <w:marBottom w:val="0"/>
      <w:divBdr>
        <w:top w:val="none" w:sz="0" w:space="0" w:color="auto"/>
        <w:left w:val="none" w:sz="0" w:space="0" w:color="auto"/>
        <w:bottom w:val="none" w:sz="0" w:space="0" w:color="auto"/>
        <w:right w:val="none" w:sz="0" w:space="0" w:color="auto"/>
      </w:divBdr>
    </w:div>
    <w:div w:id="1420903743">
      <w:bodyDiv w:val="1"/>
      <w:marLeft w:val="0"/>
      <w:marRight w:val="0"/>
      <w:marTop w:val="0"/>
      <w:marBottom w:val="0"/>
      <w:divBdr>
        <w:top w:val="none" w:sz="0" w:space="0" w:color="auto"/>
        <w:left w:val="none" w:sz="0" w:space="0" w:color="auto"/>
        <w:bottom w:val="none" w:sz="0" w:space="0" w:color="auto"/>
        <w:right w:val="none" w:sz="0" w:space="0" w:color="auto"/>
      </w:divBdr>
      <w:divsChild>
        <w:div w:id="2080053298">
          <w:marLeft w:val="0"/>
          <w:marRight w:val="0"/>
          <w:marTop w:val="0"/>
          <w:marBottom w:val="0"/>
          <w:divBdr>
            <w:top w:val="none" w:sz="0" w:space="0" w:color="auto"/>
            <w:left w:val="none" w:sz="0" w:space="0" w:color="auto"/>
            <w:bottom w:val="none" w:sz="0" w:space="0" w:color="auto"/>
            <w:right w:val="none" w:sz="0" w:space="0" w:color="auto"/>
          </w:divBdr>
        </w:div>
      </w:divsChild>
    </w:div>
    <w:div w:id="1453858959">
      <w:bodyDiv w:val="1"/>
      <w:marLeft w:val="0"/>
      <w:marRight w:val="0"/>
      <w:marTop w:val="0"/>
      <w:marBottom w:val="0"/>
      <w:divBdr>
        <w:top w:val="none" w:sz="0" w:space="0" w:color="auto"/>
        <w:left w:val="none" w:sz="0" w:space="0" w:color="auto"/>
        <w:bottom w:val="none" w:sz="0" w:space="0" w:color="auto"/>
        <w:right w:val="none" w:sz="0" w:space="0" w:color="auto"/>
      </w:divBdr>
      <w:divsChild>
        <w:div w:id="1993019045">
          <w:marLeft w:val="0"/>
          <w:marRight w:val="0"/>
          <w:marTop w:val="0"/>
          <w:marBottom w:val="0"/>
          <w:divBdr>
            <w:top w:val="none" w:sz="0" w:space="0" w:color="auto"/>
            <w:left w:val="none" w:sz="0" w:space="0" w:color="auto"/>
            <w:bottom w:val="none" w:sz="0" w:space="0" w:color="auto"/>
            <w:right w:val="none" w:sz="0" w:space="0" w:color="auto"/>
          </w:divBdr>
        </w:div>
      </w:divsChild>
    </w:div>
    <w:div w:id="1457792522">
      <w:bodyDiv w:val="1"/>
      <w:marLeft w:val="0"/>
      <w:marRight w:val="0"/>
      <w:marTop w:val="0"/>
      <w:marBottom w:val="0"/>
      <w:divBdr>
        <w:top w:val="none" w:sz="0" w:space="0" w:color="auto"/>
        <w:left w:val="none" w:sz="0" w:space="0" w:color="auto"/>
        <w:bottom w:val="none" w:sz="0" w:space="0" w:color="auto"/>
        <w:right w:val="none" w:sz="0" w:space="0" w:color="auto"/>
      </w:divBdr>
      <w:divsChild>
        <w:div w:id="1375469590">
          <w:marLeft w:val="0"/>
          <w:marRight w:val="0"/>
          <w:marTop w:val="0"/>
          <w:marBottom w:val="0"/>
          <w:divBdr>
            <w:top w:val="none" w:sz="0" w:space="0" w:color="auto"/>
            <w:left w:val="none" w:sz="0" w:space="0" w:color="auto"/>
            <w:bottom w:val="none" w:sz="0" w:space="0" w:color="auto"/>
            <w:right w:val="none" w:sz="0" w:space="0" w:color="auto"/>
          </w:divBdr>
          <w:divsChild>
            <w:div w:id="1502503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0485829">
      <w:bodyDiv w:val="1"/>
      <w:marLeft w:val="0"/>
      <w:marRight w:val="0"/>
      <w:marTop w:val="0"/>
      <w:marBottom w:val="0"/>
      <w:divBdr>
        <w:top w:val="none" w:sz="0" w:space="0" w:color="auto"/>
        <w:left w:val="none" w:sz="0" w:space="0" w:color="auto"/>
        <w:bottom w:val="none" w:sz="0" w:space="0" w:color="auto"/>
        <w:right w:val="none" w:sz="0" w:space="0" w:color="auto"/>
      </w:divBdr>
      <w:divsChild>
        <w:div w:id="921914546">
          <w:marLeft w:val="0"/>
          <w:marRight w:val="0"/>
          <w:marTop w:val="0"/>
          <w:marBottom w:val="0"/>
          <w:divBdr>
            <w:top w:val="none" w:sz="0" w:space="0" w:color="auto"/>
            <w:left w:val="none" w:sz="0" w:space="0" w:color="auto"/>
            <w:bottom w:val="none" w:sz="0" w:space="0" w:color="auto"/>
            <w:right w:val="none" w:sz="0" w:space="0" w:color="auto"/>
          </w:divBdr>
        </w:div>
      </w:divsChild>
    </w:div>
    <w:div w:id="1500730046">
      <w:bodyDiv w:val="1"/>
      <w:marLeft w:val="0"/>
      <w:marRight w:val="0"/>
      <w:marTop w:val="0"/>
      <w:marBottom w:val="0"/>
      <w:divBdr>
        <w:top w:val="none" w:sz="0" w:space="0" w:color="auto"/>
        <w:left w:val="none" w:sz="0" w:space="0" w:color="auto"/>
        <w:bottom w:val="none" w:sz="0" w:space="0" w:color="auto"/>
        <w:right w:val="none" w:sz="0" w:space="0" w:color="auto"/>
      </w:divBdr>
      <w:divsChild>
        <w:div w:id="926881923">
          <w:marLeft w:val="0"/>
          <w:marRight w:val="0"/>
          <w:marTop w:val="0"/>
          <w:marBottom w:val="0"/>
          <w:divBdr>
            <w:top w:val="none" w:sz="0" w:space="0" w:color="auto"/>
            <w:left w:val="none" w:sz="0" w:space="0" w:color="auto"/>
            <w:bottom w:val="none" w:sz="0" w:space="0" w:color="auto"/>
            <w:right w:val="none" w:sz="0" w:space="0" w:color="auto"/>
          </w:divBdr>
        </w:div>
      </w:divsChild>
    </w:div>
    <w:div w:id="1502164147">
      <w:bodyDiv w:val="1"/>
      <w:marLeft w:val="0"/>
      <w:marRight w:val="0"/>
      <w:marTop w:val="0"/>
      <w:marBottom w:val="0"/>
      <w:divBdr>
        <w:top w:val="none" w:sz="0" w:space="0" w:color="auto"/>
        <w:left w:val="none" w:sz="0" w:space="0" w:color="auto"/>
        <w:bottom w:val="none" w:sz="0" w:space="0" w:color="auto"/>
        <w:right w:val="none" w:sz="0" w:space="0" w:color="auto"/>
      </w:divBdr>
      <w:divsChild>
        <w:div w:id="755327916">
          <w:marLeft w:val="0"/>
          <w:marRight w:val="0"/>
          <w:marTop w:val="0"/>
          <w:marBottom w:val="0"/>
          <w:divBdr>
            <w:top w:val="none" w:sz="0" w:space="0" w:color="auto"/>
            <w:left w:val="none" w:sz="0" w:space="0" w:color="auto"/>
            <w:bottom w:val="none" w:sz="0" w:space="0" w:color="auto"/>
            <w:right w:val="none" w:sz="0" w:space="0" w:color="auto"/>
          </w:divBdr>
        </w:div>
      </w:divsChild>
    </w:div>
    <w:div w:id="1516967193">
      <w:bodyDiv w:val="1"/>
      <w:marLeft w:val="0"/>
      <w:marRight w:val="0"/>
      <w:marTop w:val="0"/>
      <w:marBottom w:val="0"/>
      <w:divBdr>
        <w:top w:val="none" w:sz="0" w:space="0" w:color="auto"/>
        <w:left w:val="none" w:sz="0" w:space="0" w:color="auto"/>
        <w:bottom w:val="none" w:sz="0" w:space="0" w:color="auto"/>
        <w:right w:val="none" w:sz="0" w:space="0" w:color="auto"/>
      </w:divBdr>
      <w:divsChild>
        <w:div w:id="1219829064">
          <w:marLeft w:val="0"/>
          <w:marRight w:val="0"/>
          <w:marTop w:val="0"/>
          <w:marBottom w:val="0"/>
          <w:divBdr>
            <w:top w:val="none" w:sz="0" w:space="0" w:color="auto"/>
            <w:left w:val="none" w:sz="0" w:space="0" w:color="auto"/>
            <w:bottom w:val="none" w:sz="0" w:space="0" w:color="auto"/>
            <w:right w:val="none" w:sz="0" w:space="0" w:color="auto"/>
          </w:divBdr>
        </w:div>
        <w:div w:id="1461461464">
          <w:marLeft w:val="0"/>
          <w:marRight w:val="0"/>
          <w:marTop w:val="0"/>
          <w:marBottom w:val="0"/>
          <w:divBdr>
            <w:top w:val="none" w:sz="0" w:space="0" w:color="auto"/>
            <w:left w:val="none" w:sz="0" w:space="0" w:color="auto"/>
            <w:bottom w:val="none" w:sz="0" w:space="0" w:color="auto"/>
            <w:right w:val="none" w:sz="0" w:space="0" w:color="auto"/>
          </w:divBdr>
        </w:div>
        <w:div w:id="1638143888">
          <w:marLeft w:val="0"/>
          <w:marRight w:val="0"/>
          <w:marTop w:val="0"/>
          <w:marBottom w:val="0"/>
          <w:divBdr>
            <w:top w:val="none" w:sz="0" w:space="0" w:color="auto"/>
            <w:left w:val="none" w:sz="0" w:space="0" w:color="auto"/>
            <w:bottom w:val="none" w:sz="0" w:space="0" w:color="auto"/>
            <w:right w:val="none" w:sz="0" w:space="0" w:color="auto"/>
          </w:divBdr>
        </w:div>
        <w:div w:id="1971326698">
          <w:marLeft w:val="0"/>
          <w:marRight w:val="0"/>
          <w:marTop w:val="0"/>
          <w:marBottom w:val="0"/>
          <w:divBdr>
            <w:top w:val="none" w:sz="0" w:space="0" w:color="auto"/>
            <w:left w:val="none" w:sz="0" w:space="0" w:color="auto"/>
            <w:bottom w:val="none" w:sz="0" w:space="0" w:color="auto"/>
            <w:right w:val="none" w:sz="0" w:space="0" w:color="auto"/>
          </w:divBdr>
        </w:div>
        <w:div w:id="595479199">
          <w:marLeft w:val="0"/>
          <w:marRight w:val="0"/>
          <w:marTop w:val="0"/>
          <w:marBottom w:val="0"/>
          <w:divBdr>
            <w:top w:val="none" w:sz="0" w:space="0" w:color="auto"/>
            <w:left w:val="none" w:sz="0" w:space="0" w:color="auto"/>
            <w:bottom w:val="none" w:sz="0" w:space="0" w:color="auto"/>
            <w:right w:val="none" w:sz="0" w:space="0" w:color="auto"/>
          </w:divBdr>
        </w:div>
      </w:divsChild>
    </w:div>
    <w:div w:id="1594045450">
      <w:bodyDiv w:val="1"/>
      <w:marLeft w:val="0"/>
      <w:marRight w:val="0"/>
      <w:marTop w:val="0"/>
      <w:marBottom w:val="0"/>
      <w:divBdr>
        <w:top w:val="none" w:sz="0" w:space="0" w:color="auto"/>
        <w:left w:val="none" w:sz="0" w:space="0" w:color="auto"/>
        <w:bottom w:val="none" w:sz="0" w:space="0" w:color="auto"/>
        <w:right w:val="none" w:sz="0" w:space="0" w:color="auto"/>
      </w:divBdr>
      <w:divsChild>
        <w:div w:id="1504778691">
          <w:marLeft w:val="0"/>
          <w:marRight w:val="0"/>
          <w:marTop w:val="0"/>
          <w:marBottom w:val="0"/>
          <w:divBdr>
            <w:top w:val="none" w:sz="0" w:space="0" w:color="auto"/>
            <w:left w:val="none" w:sz="0" w:space="0" w:color="auto"/>
            <w:bottom w:val="none" w:sz="0" w:space="0" w:color="auto"/>
            <w:right w:val="none" w:sz="0" w:space="0" w:color="auto"/>
          </w:divBdr>
        </w:div>
      </w:divsChild>
    </w:div>
    <w:div w:id="1596674365">
      <w:bodyDiv w:val="1"/>
      <w:marLeft w:val="0"/>
      <w:marRight w:val="0"/>
      <w:marTop w:val="0"/>
      <w:marBottom w:val="0"/>
      <w:divBdr>
        <w:top w:val="none" w:sz="0" w:space="0" w:color="auto"/>
        <w:left w:val="none" w:sz="0" w:space="0" w:color="auto"/>
        <w:bottom w:val="none" w:sz="0" w:space="0" w:color="auto"/>
        <w:right w:val="none" w:sz="0" w:space="0" w:color="auto"/>
      </w:divBdr>
      <w:divsChild>
        <w:div w:id="657000661">
          <w:marLeft w:val="0"/>
          <w:marRight w:val="0"/>
          <w:marTop w:val="0"/>
          <w:marBottom w:val="0"/>
          <w:divBdr>
            <w:top w:val="none" w:sz="0" w:space="0" w:color="auto"/>
            <w:left w:val="none" w:sz="0" w:space="0" w:color="auto"/>
            <w:bottom w:val="none" w:sz="0" w:space="0" w:color="auto"/>
            <w:right w:val="none" w:sz="0" w:space="0" w:color="auto"/>
          </w:divBdr>
        </w:div>
      </w:divsChild>
    </w:div>
    <w:div w:id="1667515630">
      <w:bodyDiv w:val="1"/>
      <w:marLeft w:val="0"/>
      <w:marRight w:val="0"/>
      <w:marTop w:val="0"/>
      <w:marBottom w:val="0"/>
      <w:divBdr>
        <w:top w:val="none" w:sz="0" w:space="0" w:color="auto"/>
        <w:left w:val="none" w:sz="0" w:space="0" w:color="auto"/>
        <w:bottom w:val="none" w:sz="0" w:space="0" w:color="auto"/>
        <w:right w:val="none" w:sz="0" w:space="0" w:color="auto"/>
      </w:divBdr>
      <w:divsChild>
        <w:div w:id="1630938748">
          <w:marLeft w:val="0"/>
          <w:marRight w:val="0"/>
          <w:marTop w:val="0"/>
          <w:marBottom w:val="0"/>
          <w:divBdr>
            <w:top w:val="none" w:sz="0" w:space="0" w:color="auto"/>
            <w:left w:val="none" w:sz="0" w:space="0" w:color="auto"/>
            <w:bottom w:val="none" w:sz="0" w:space="0" w:color="auto"/>
            <w:right w:val="none" w:sz="0" w:space="0" w:color="auto"/>
          </w:divBdr>
        </w:div>
      </w:divsChild>
    </w:div>
    <w:div w:id="1718046622">
      <w:bodyDiv w:val="1"/>
      <w:marLeft w:val="0"/>
      <w:marRight w:val="0"/>
      <w:marTop w:val="0"/>
      <w:marBottom w:val="0"/>
      <w:divBdr>
        <w:top w:val="none" w:sz="0" w:space="0" w:color="auto"/>
        <w:left w:val="none" w:sz="0" w:space="0" w:color="auto"/>
        <w:bottom w:val="none" w:sz="0" w:space="0" w:color="auto"/>
        <w:right w:val="none" w:sz="0" w:space="0" w:color="auto"/>
      </w:divBdr>
      <w:divsChild>
        <w:div w:id="832526402">
          <w:marLeft w:val="0"/>
          <w:marRight w:val="0"/>
          <w:marTop w:val="0"/>
          <w:marBottom w:val="0"/>
          <w:divBdr>
            <w:top w:val="none" w:sz="0" w:space="0" w:color="auto"/>
            <w:left w:val="none" w:sz="0" w:space="0" w:color="auto"/>
            <w:bottom w:val="none" w:sz="0" w:space="0" w:color="auto"/>
            <w:right w:val="none" w:sz="0" w:space="0" w:color="auto"/>
          </w:divBdr>
        </w:div>
        <w:div w:id="280232342">
          <w:marLeft w:val="0"/>
          <w:marRight w:val="0"/>
          <w:marTop w:val="0"/>
          <w:marBottom w:val="0"/>
          <w:divBdr>
            <w:top w:val="none" w:sz="0" w:space="0" w:color="auto"/>
            <w:left w:val="none" w:sz="0" w:space="0" w:color="auto"/>
            <w:bottom w:val="none" w:sz="0" w:space="0" w:color="auto"/>
            <w:right w:val="none" w:sz="0" w:space="0" w:color="auto"/>
          </w:divBdr>
        </w:div>
        <w:div w:id="1895509143">
          <w:marLeft w:val="0"/>
          <w:marRight w:val="0"/>
          <w:marTop w:val="0"/>
          <w:marBottom w:val="0"/>
          <w:divBdr>
            <w:top w:val="none" w:sz="0" w:space="0" w:color="auto"/>
            <w:left w:val="none" w:sz="0" w:space="0" w:color="auto"/>
            <w:bottom w:val="none" w:sz="0" w:space="0" w:color="auto"/>
            <w:right w:val="none" w:sz="0" w:space="0" w:color="auto"/>
          </w:divBdr>
        </w:div>
        <w:div w:id="1137801943">
          <w:marLeft w:val="0"/>
          <w:marRight w:val="0"/>
          <w:marTop w:val="0"/>
          <w:marBottom w:val="0"/>
          <w:divBdr>
            <w:top w:val="none" w:sz="0" w:space="0" w:color="auto"/>
            <w:left w:val="none" w:sz="0" w:space="0" w:color="auto"/>
            <w:bottom w:val="none" w:sz="0" w:space="0" w:color="auto"/>
            <w:right w:val="none" w:sz="0" w:space="0" w:color="auto"/>
          </w:divBdr>
        </w:div>
        <w:div w:id="838811034">
          <w:marLeft w:val="0"/>
          <w:marRight w:val="0"/>
          <w:marTop w:val="0"/>
          <w:marBottom w:val="0"/>
          <w:divBdr>
            <w:top w:val="none" w:sz="0" w:space="0" w:color="auto"/>
            <w:left w:val="none" w:sz="0" w:space="0" w:color="auto"/>
            <w:bottom w:val="none" w:sz="0" w:space="0" w:color="auto"/>
            <w:right w:val="none" w:sz="0" w:space="0" w:color="auto"/>
          </w:divBdr>
        </w:div>
      </w:divsChild>
    </w:div>
    <w:div w:id="1736666102">
      <w:bodyDiv w:val="1"/>
      <w:marLeft w:val="0"/>
      <w:marRight w:val="0"/>
      <w:marTop w:val="0"/>
      <w:marBottom w:val="0"/>
      <w:divBdr>
        <w:top w:val="none" w:sz="0" w:space="0" w:color="auto"/>
        <w:left w:val="none" w:sz="0" w:space="0" w:color="auto"/>
        <w:bottom w:val="none" w:sz="0" w:space="0" w:color="auto"/>
        <w:right w:val="none" w:sz="0" w:space="0" w:color="auto"/>
      </w:divBdr>
      <w:divsChild>
        <w:div w:id="1737431188">
          <w:marLeft w:val="0"/>
          <w:marRight w:val="0"/>
          <w:marTop w:val="0"/>
          <w:marBottom w:val="0"/>
          <w:divBdr>
            <w:top w:val="none" w:sz="0" w:space="0" w:color="auto"/>
            <w:left w:val="none" w:sz="0" w:space="0" w:color="auto"/>
            <w:bottom w:val="none" w:sz="0" w:space="0" w:color="auto"/>
            <w:right w:val="none" w:sz="0" w:space="0" w:color="auto"/>
          </w:divBdr>
        </w:div>
      </w:divsChild>
    </w:div>
    <w:div w:id="1827937649">
      <w:bodyDiv w:val="1"/>
      <w:marLeft w:val="0"/>
      <w:marRight w:val="0"/>
      <w:marTop w:val="0"/>
      <w:marBottom w:val="0"/>
      <w:divBdr>
        <w:top w:val="none" w:sz="0" w:space="0" w:color="auto"/>
        <w:left w:val="none" w:sz="0" w:space="0" w:color="auto"/>
        <w:bottom w:val="none" w:sz="0" w:space="0" w:color="auto"/>
        <w:right w:val="none" w:sz="0" w:space="0" w:color="auto"/>
      </w:divBdr>
      <w:divsChild>
        <w:div w:id="736631222">
          <w:marLeft w:val="0"/>
          <w:marRight w:val="0"/>
          <w:marTop w:val="0"/>
          <w:marBottom w:val="0"/>
          <w:divBdr>
            <w:top w:val="none" w:sz="0" w:space="0" w:color="auto"/>
            <w:left w:val="none" w:sz="0" w:space="0" w:color="auto"/>
            <w:bottom w:val="none" w:sz="0" w:space="0" w:color="auto"/>
            <w:right w:val="none" w:sz="0" w:space="0" w:color="auto"/>
          </w:divBdr>
        </w:div>
      </w:divsChild>
    </w:div>
    <w:div w:id="1968463675">
      <w:bodyDiv w:val="1"/>
      <w:marLeft w:val="0"/>
      <w:marRight w:val="0"/>
      <w:marTop w:val="0"/>
      <w:marBottom w:val="0"/>
      <w:divBdr>
        <w:top w:val="none" w:sz="0" w:space="0" w:color="auto"/>
        <w:left w:val="none" w:sz="0" w:space="0" w:color="auto"/>
        <w:bottom w:val="none" w:sz="0" w:space="0" w:color="auto"/>
        <w:right w:val="none" w:sz="0" w:space="0" w:color="auto"/>
      </w:divBdr>
      <w:divsChild>
        <w:div w:id="1533304401">
          <w:marLeft w:val="0"/>
          <w:marRight w:val="0"/>
          <w:marTop w:val="0"/>
          <w:marBottom w:val="0"/>
          <w:divBdr>
            <w:top w:val="none" w:sz="0" w:space="0" w:color="auto"/>
            <w:left w:val="none" w:sz="0" w:space="0" w:color="auto"/>
            <w:bottom w:val="none" w:sz="0" w:space="0" w:color="auto"/>
            <w:right w:val="none" w:sz="0" w:space="0" w:color="auto"/>
          </w:divBdr>
        </w:div>
      </w:divsChild>
    </w:div>
    <w:div w:id="1990590738">
      <w:bodyDiv w:val="1"/>
      <w:marLeft w:val="0"/>
      <w:marRight w:val="0"/>
      <w:marTop w:val="0"/>
      <w:marBottom w:val="0"/>
      <w:divBdr>
        <w:top w:val="none" w:sz="0" w:space="0" w:color="auto"/>
        <w:left w:val="none" w:sz="0" w:space="0" w:color="auto"/>
        <w:bottom w:val="none" w:sz="0" w:space="0" w:color="auto"/>
        <w:right w:val="none" w:sz="0" w:space="0" w:color="auto"/>
      </w:divBdr>
      <w:divsChild>
        <w:div w:id="1973704493">
          <w:marLeft w:val="0"/>
          <w:marRight w:val="0"/>
          <w:marTop w:val="0"/>
          <w:marBottom w:val="0"/>
          <w:divBdr>
            <w:top w:val="none" w:sz="0" w:space="0" w:color="auto"/>
            <w:left w:val="none" w:sz="0" w:space="0" w:color="auto"/>
            <w:bottom w:val="none" w:sz="0" w:space="0" w:color="auto"/>
            <w:right w:val="none" w:sz="0" w:space="0" w:color="auto"/>
          </w:divBdr>
        </w:div>
      </w:divsChild>
    </w:div>
    <w:div w:id="2008291400">
      <w:bodyDiv w:val="1"/>
      <w:marLeft w:val="0"/>
      <w:marRight w:val="0"/>
      <w:marTop w:val="0"/>
      <w:marBottom w:val="0"/>
      <w:divBdr>
        <w:top w:val="none" w:sz="0" w:space="0" w:color="auto"/>
        <w:left w:val="none" w:sz="0" w:space="0" w:color="auto"/>
        <w:bottom w:val="none" w:sz="0" w:space="0" w:color="auto"/>
        <w:right w:val="none" w:sz="0" w:space="0" w:color="auto"/>
      </w:divBdr>
      <w:divsChild>
        <w:div w:id="690493872">
          <w:marLeft w:val="0"/>
          <w:marRight w:val="0"/>
          <w:marTop w:val="0"/>
          <w:marBottom w:val="0"/>
          <w:divBdr>
            <w:top w:val="none" w:sz="0" w:space="0" w:color="auto"/>
            <w:left w:val="none" w:sz="0" w:space="0" w:color="auto"/>
            <w:bottom w:val="none" w:sz="0" w:space="0" w:color="auto"/>
            <w:right w:val="none" w:sz="0" w:space="0" w:color="auto"/>
          </w:divBdr>
        </w:div>
      </w:divsChild>
    </w:div>
    <w:div w:id="2041472561">
      <w:bodyDiv w:val="1"/>
      <w:marLeft w:val="0"/>
      <w:marRight w:val="0"/>
      <w:marTop w:val="0"/>
      <w:marBottom w:val="0"/>
      <w:divBdr>
        <w:top w:val="none" w:sz="0" w:space="0" w:color="auto"/>
        <w:left w:val="none" w:sz="0" w:space="0" w:color="auto"/>
        <w:bottom w:val="none" w:sz="0" w:space="0" w:color="auto"/>
        <w:right w:val="none" w:sz="0" w:space="0" w:color="auto"/>
      </w:divBdr>
      <w:divsChild>
        <w:div w:id="503252045">
          <w:marLeft w:val="0"/>
          <w:marRight w:val="0"/>
          <w:marTop w:val="0"/>
          <w:marBottom w:val="0"/>
          <w:divBdr>
            <w:top w:val="none" w:sz="0" w:space="0" w:color="auto"/>
            <w:left w:val="none" w:sz="0" w:space="0" w:color="auto"/>
            <w:bottom w:val="none" w:sz="0" w:space="0" w:color="auto"/>
            <w:right w:val="none" w:sz="0" w:space="0" w:color="auto"/>
          </w:divBdr>
        </w:div>
      </w:divsChild>
    </w:div>
    <w:div w:id="2055960724">
      <w:bodyDiv w:val="1"/>
      <w:marLeft w:val="0"/>
      <w:marRight w:val="0"/>
      <w:marTop w:val="0"/>
      <w:marBottom w:val="0"/>
      <w:divBdr>
        <w:top w:val="none" w:sz="0" w:space="0" w:color="auto"/>
        <w:left w:val="none" w:sz="0" w:space="0" w:color="auto"/>
        <w:bottom w:val="none" w:sz="0" w:space="0" w:color="auto"/>
        <w:right w:val="none" w:sz="0" w:space="0" w:color="auto"/>
      </w:divBdr>
      <w:divsChild>
        <w:div w:id="1217663727">
          <w:marLeft w:val="0"/>
          <w:marRight w:val="0"/>
          <w:marTop w:val="0"/>
          <w:marBottom w:val="0"/>
          <w:divBdr>
            <w:top w:val="none" w:sz="0" w:space="0" w:color="auto"/>
            <w:left w:val="none" w:sz="0" w:space="0" w:color="auto"/>
            <w:bottom w:val="none" w:sz="0" w:space="0" w:color="auto"/>
            <w:right w:val="none" w:sz="0" w:space="0" w:color="auto"/>
          </w:divBdr>
        </w:div>
      </w:divsChild>
    </w:div>
    <w:div w:id="2115251258">
      <w:bodyDiv w:val="1"/>
      <w:marLeft w:val="0"/>
      <w:marRight w:val="0"/>
      <w:marTop w:val="0"/>
      <w:marBottom w:val="0"/>
      <w:divBdr>
        <w:top w:val="none" w:sz="0" w:space="0" w:color="auto"/>
        <w:left w:val="none" w:sz="0" w:space="0" w:color="auto"/>
        <w:bottom w:val="none" w:sz="0" w:space="0" w:color="auto"/>
        <w:right w:val="none" w:sz="0" w:space="0" w:color="auto"/>
      </w:divBdr>
      <w:divsChild>
        <w:div w:id="602684997">
          <w:marLeft w:val="0"/>
          <w:marRight w:val="0"/>
          <w:marTop w:val="0"/>
          <w:marBottom w:val="0"/>
          <w:divBdr>
            <w:top w:val="none" w:sz="0" w:space="0" w:color="auto"/>
            <w:left w:val="none" w:sz="0" w:space="0" w:color="auto"/>
            <w:bottom w:val="none" w:sz="0" w:space="0" w:color="auto"/>
            <w:right w:val="none" w:sz="0" w:space="0" w:color="auto"/>
          </w:divBdr>
        </w:div>
      </w:divsChild>
    </w:div>
    <w:div w:id="2116749768">
      <w:bodyDiv w:val="1"/>
      <w:marLeft w:val="0"/>
      <w:marRight w:val="0"/>
      <w:marTop w:val="0"/>
      <w:marBottom w:val="0"/>
      <w:divBdr>
        <w:top w:val="none" w:sz="0" w:space="0" w:color="auto"/>
        <w:left w:val="none" w:sz="0" w:space="0" w:color="auto"/>
        <w:bottom w:val="none" w:sz="0" w:space="0" w:color="auto"/>
        <w:right w:val="none" w:sz="0" w:space="0" w:color="auto"/>
      </w:divBdr>
      <w:divsChild>
        <w:div w:id="580874975">
          <w:marLeft w:val="0"/>
          <w:marRight w:val="0"/>
          <w:marTop w:val="0"/>
          <w:marBottom w:val="0"/>
          <w:divBdr>
            <w:top w:val="none" w:sz="0" w:space="0" w:color="auto"/>
            <w:left w:val="none" w:sz="0" w:space="0" w:color="auto"/>
            <w:bottom w:val="none" w:sz="0" w:space="0" w:color="auto"/>
            <w:right w:val="none" w:sz="0" w:space="0" w:color="auto"/>
          </w:divBdr>
        </w:div>
      </w:divsChild>
    </w:div>
    <w:div w:id="2130932997">
      <w:bodyDiv w:val="1"/>
      <w:marLeft w:val="0"/>
      <w:marRight w:val="0"/>
      <w:marTop w:val="0"/>
      <w:marBottom w:val="0"/>
      <w:divBdr>
        <w:top w:val="none" w:sz="0" w:space="0" w:color="auto"/>
        <w:left w:val="none" w:sz="0" w:space="0" w:color="auto"/>
        <w:bottom w:val="none" w:sz="0" w:space="0" w:color="auto"/>
        <w:right w:val="none" w:sz="0" w:space="0" w:color="auto"/>
      </w:divBdr>
      <w:divsChild>
        <w:div w:id="1354840665">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5498537F95DDC4AB763DDF5991E34EB" ma:contentTypeVersion="13" ma:contentTypeDescription="Create a new document." ma:contentTypeScope="" ma:versionID="2f1d0f3b68dd098dfa2a9dd92496717a">
  <xsd:schema xmlns:xsd="http://www.w3.org/2001/XMLSchema" xmlns:xs="http://www.w3.org/2001/XMLSchema" xmlns:p="http://schemas.microsoft.com/office/2006/metadata/properties" xmlns:ns2="7e423195-cf12-4132-b731-275e365b8d6e" xmlns:ns3="7726f3e6-3230-441e-a96d-c81a19450b11" targetNamespace="http://schemas.microsoft.com/office/2006/metadata/properties" ma:root="true" ma:fieldsID="d0791c3ea467ac42bd5ca8e2fc05674b" ns2:_="" ns3:_="">
    <xsd:import namespace="7e423195-cf12-4132-b731-275e365b8d6e"/>
    <xsd:import namespace="7726f3e6-3230-441e-a96d-c81a19450b11"/>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423195-cf12-4132-b731-275e365b8d6e"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dbeb20b7-1af2-4008-a1ff-ecc67e38a5b7"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726f3e6-3230-441e-a96d-c81a19450b11"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80112ee6-f16d-4d9f-a970-feebe6fbab29}" ma:internalName="TaxCatchAll" ma:showField="CatchAllData" ma:web="7726f3e6-3230-441e-a96d-c81a19450b1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7726f3e6-3230-441e-a96d-c81a19450b11" xsi:nil="true"/>
    <lcf76f155ced4ddcb4097134ff3c332f xmlns="7e423195-cf12-4132-b731-275e365b8d6e">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1F07CD0-1341-4C13-8E8B-5FB0390211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423195-cf12-4132-b731-275e365b8d6e"/>
    <ds:schemaRef ds:uri="7726f3e6-3230-441e-a96d-c81a19450b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79AB08F-A353-4BDB-8D41-80F11E7A50B5}">
  <ds:schemaRefs>
    <ds:schemaRef ds:uri="http://schemas.microsoft.com/office/2006/metadata/properties"/>
    <ds:schemaRef ds:uri="http://schemas.microsoft.com/office/infopath/2007/PartnerControls"/>
    <ds:schemaRef ds:uri="7726f3e6-3230-441e-a96d-c81a19450b11"/>
    <ds:schemaRef ds:uri="7e423195-cf12-4132-b731-275e365b8d6e"/>
  </ds:schemaRefs>
</ds:datastoreItem>
</file>

<file path=customXml/itemProps3.xml><?xml version="1.0" encoding="utf-8"?>
<ds:datastoreItem xmlns:ds="http://schemas.openxmlformats.org/officeDocument/2006/customXml" ds:itemID="{8278AE9D-C880-41F6-B499-C0A0340957F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12</Pages>
  <Words>3053</Words>
  <Characters>17404</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Pupil premium strategy statement</vt:lpstr>
    </vt:vector>
  </TitlesOfParts>
  <Company/>
  <LinksUpToDate>false</LinksUpToDate>
  <CharactersWithSpaces>20417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Pupil premium strategy statement</dc:title>
  <dc:subject/>
  <dc:creator>Jemma Traynor (Windy Nook)</dc:creator>
  <dc:description>Master-ET-v3.8</dc:description>
  <cp:lastModifiedBy>Lucie Forrest (Head Teacher)</cp:lastModifiedBy>
  <cp:revision>2</cp:revision>
  <cp:lastPrinted>2026-09-24T15:14:00Z</cp:lastPrinted>
  <dcterms:created xsi:type="dcterms:W3CDTF">2026-11-03T15:04:00Z</dcterms:created>
  <dcterms:modified xsi:type="dcterms:W3CDTF">2026-11-03T15:04:00Z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0x010100F5498537F95DDC4AB763DDF5991E34EB</vt:lpwstr>
  </property>
  <property fmtid="{D5CDD505-2E9C-101B-9397-08002B2CF9AE}" pid="4" name="IWPGroupOOB">
    <vt:lpwstr>Communications Directorate</vt:lpwstr>
  </property>
  <property fmtid="{D5CDD505-2E9C-101B-9397-08002B2CF9AE}" pid="5" name="_dlc_DocIdItemGuid">
    <vt:lpwstr>f1dd1af3-30bb-446e-af34-5327635f4b16</vt:lpwstr>
  </property>
  <property fmtid="{D5CDD505-2E9C-101B-9397-08002B2CF9AE}" pid="6" name="IWPOrganisationalUnit">
    <vt:lpwstr>3;#DfE|cc08a6d4-dfde-4d0f-bd85-069ebcef80d5</vt:lpwstr>
  </property>
  <property fmtid="{D5CDD505-2E9C-101B-9397-08002B2CF9AE}" pid="7" name="IWPOwner">
    <vt:lpwstr>1;#DfE|a484111e-5b24-4ad9-9778-c536c8c88985</vt:lpwstr>
  </property>
  <property fmtid="{D5CDD505-2E9C-101B-9397-08002B2CF9AE}" pid="8" name="IWPSubject">
    <vt:lpwstr/>
  </property>
  <property fmtid="{D5CDD505-2E9C-101B-9397-08002B2CF9AE}" pid="9" name="IWPFunction">
    <vt:lpwstr/>
  </property>
  <property fmtid="{D5CDD505-2E9C-101B-9397-08002B2CF9AE}" pid="10" name="IWPSiteType">
    <vt:lpwstr/>
  </property>
  <property fmtid="{D5CDD505-2E9C-101B-9397-08002B2CF9AE}" pid="11" name="IWPRightsProtectiveMarking">
    <vt:lpwstr>2;#Official|0884c477-2e62-47ea-b19c-5af6e91124c5</vt:lpwstr>
  </property>
  <property fmtid="{D5CDD505-2E9C-101B-9397-08002B2CF9AE}" pid="12" name="Site">
    <vt:lpwstr>22;#Communic​ati​ons|60b3cc5e-d979-4a7a-b73d-c058e341a548</vt:lpwstr>
  </property>
  <property fmtid="{D5CDD505-2E9C-101B-9397-08002B2CF9AE}" pid="13" name="MediaServiceImageTags">
    <vt:lpwstr/>
  </property>
</Properties>
</file>